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54DF" w14:textId="42677C9E" w:rsidR="00437E2C" w:rsidRDefault="00437E2C" w:rsidP="006C7A6B">
      <w:pPr>
        <w:spacing w:after="0" w:line="360" w:lineRule="auto"/>
        <w:jc w:val="center"/>
        <w:rPr>
          <w:rFonts w:ascii="Times New Roman" w:hAnsi="Times New Roman" w:cs="Times New Roman"/>
          <w:b/>
          <w:bCs/>
          <w:sz w:val="32"/>
          <w:szCs w:val="32"/>
          <w:u w:val="single"/>
          <w:lang w:val="en-ZA"/>
        </w:rPr>
      </w:pPr>
    </w:p>
    <w:p w14:paraId="17247FC2" w14:textId="77777777" w:rsidR="004D4B77" w:rsidRDefault="004D4B77" w:rsidP="006C7A6B">
      <w:pPr>
        <w:spacing w:after="0" w:line="360" w:lineRule="auto"/>
        <w:jc w:val="center"/>
        <w:rPr>
          <w:rFonts w:ascii="Times New Roman" w:hAnsi="Times New Roman" w:cs="Times New Roman"/>
          <w:b/>
          <w:bCs/>
          <w:sz w:val="32"/>
          <w:szCs w:val="32"/>
          <w:u w:val="single"/>
          <w:lang w:val="en-ZA"/>
        </w:rPr>
      </w:pPr>
    </w:p>
    <w:p w14:paraId="194BEC5C" w14:textId="10B7524D" w:rsidR="001D4F09" w:rsidRDefault="001D4F09" w:rsidP="006C7A6B">
      <w:pPr>
        <w:spacing w:after="0" w:line="360" w:lineRule="auto"/>
        <w:jc w:val="center"/>
        <w:rPr>
          <w:rFonts w:ascii="Times New Roman" w:hAnsi="Times New Roman" w:cs="Times New Roman"/>
          <w:b/>
          <w:bCs/>
          <w:sz w:val="32"/>
          <w:szCs w:val="32"/>
          <w:u w:val="single"/>
          <w:lang w:val="en-ZA"/>
        </w:rPr>
      </w:pPr>
    </w:p>
    <w:p w14:paraId="63DD1562" w14:textId="338A4065" w:rsidR="001D4F09" w:rsidRDefault="001D4F09" w:rsidP="006C7A6B">
      <w:pPr>
        <w:spacing w:after="0" w:line="360" w:lineRule="auto"/>
        <w:jc w:val="center"/>
        <w:rPr>
          <w:rFonts w:ascii="Times New Roman" w:hAnsi="Times New Roman" w:cs="Times New Roman"/>
          <w:b/>
          <w:bCs/>
          <w:sz w:val="32"/>
          <w:szCs w:val="32"/>
          <w:u w:val="single"/>
          <w:lang w:val="en-ZA"/>
        </w:rPr>
      </w:pPr>
    </w:p>
    <w:p w14:paraId="59D53CD4" w14:textId="1E93D047" w:rsidR="001D4F09" w:rsidRDefault="001D4F09" w:rsidP="006C7A6B">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27A9F91A" w14:textId="55D8387F" w:rsidR="001D4F09" w:rsidRDefault="001D4F09" w:rsidP="006C7A6B">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62FC3E05" w14:textId="01E43683" w:rsidR="001D4F09" w:rsidRDefault="001D4F09" w:rsidP="001D4F09">
      <w:pPr>
        <w:spacing w:after="0" w:line="360" w:lineRule="auto"/>
        <w:jc w:val="both"/>
        <w:rPr>
          <w:rFonts w:ascii="Times New Roman" w:hAnsi="Times New Roman" w:cs="Times New Roman"/>
          <w:b/>
          <w:bCs/>
          <w:sz w:val="32"/>
          <w:szCs w:val="32"/>
          <w:lang w:val="en-ZA"/>
        </w:rPr>
      </w:pPr>
    </w:p>
    <w:p w14:paraId="2B0BFA43" w14:textId="42D0E137" w:rsidR="001D4F09" w:rsidRDefault="001D4F09" w:rsidP="001D4F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CCA/0073/2022</w:t>
      </w:r>
    </w:p>
    <w:p w14:paraId="625CC455" w14:textId="1BE4EA6A" w:rsidR="001D4F09" w:rsidRDefault="001D4F09" w:rsidP="001D4F09">
      <w:pPr>
        <w:spacing w:after="0" w:line="360" w:lineRule="auto"/>
        <w:jc w:val="both"/>
        <w:rPr>
          <w:rFonts w:ascii="Times New Roman" w:hAnsi="Times New Roman" w:cs="Times New Roman"/>
          <w:b/>
          <w:bCs/>
          <w:sz w:val="28"/>
          <w:szCs w:val="28"/>
          <w:lang w:val="en-ZA"/>
        </w:rPr>
      </w:pPr>
    </w:p>
    <w:p w14:paraId="3801AFD0" w14:textId="17EA2F43" w:rsidR="001D4F09" w:rsidRDefault="001D4F09" w:rsidP="001D4F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0E23D072" w14:textId="0F00543F" w:rsidR="001D4F09" w:rsidRDefault="001D4F09" w:rsidP="001D4F09">
      <w:pPr>
        <w:spacing w:after="0" w:line="360" w:lineRule="auto"/>
        <w:jc w:val="both"/>
        <w:rPr>
          <w:rFonts w:ascii="Times New Roman" w:hAnsi="Times New Roman" w:cs="Times New Roman"/>
          <w:b/>
          <w:bCs/>
          <w:sz w:val="28"/>
          <w:szCs w:val="28"/>
          <w:lang w:val="en-ZA"/>
        </w:rPr>
      </w:pPr>
    </w:p>
    <w:p w14:paraId="1AACBC85" w14:textId="0DEB3048" w:rsidR="001D4F09" w:rsidRDefault="001D4F09" w:rsidP="001D4F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MAMARE RAMPOOANA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1D4F09">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p>
    <w:p w14:paraId="12A7FEDE" w14:textId="1AAED83B" w:rsidR="001D4F09" w:rsidRDefault="00536A17" w:rsidP="001D4F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MARE DESMOND RAMPOOANA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536A17">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w:t>
      </w:r>
    </w:p>
    <w:p w14:paraId="40AA1112" w14:textId="428B11AD" w:rsidR="00536A17" w:rsidRDefault="00536A17" w:rsidP="001D4F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NOTABLE TECHNOLOGIES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536A17">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APPLICANT</w:t>
      </w:r>
    </w:p>
    <w:p w14:paraId="6C320272" w14:textId="5594BF22" w:rsidR="00536A17" w:rsidRDefault="00536A17" w:rsidP="001D4F09">
      <w:pPr>
        <w:spacing w:after="0" w:line="360" w:lineRule="auto"/>
        <w:jc w:val="both"/>
        <w:rPr>
          <w:rFonts w:ascii="Times New Roman" w:hAnsi="Times New Roman" w:cs="Times New Roman"/>
          <w:b/>
          <w:bCs/>
          <w:sz w:val="28"/>
          <w:szCs w:val="28"/>
          <w:lang w:val="en-ZA"/>
        </w:rPr>
      </w:pPr>
    </w:p>
    <w:p w14:paraId="46754E99" w14:textId="6AD0B208" w:rsidR="00536A17" w:rsidRDefault="00536A17" w:rsidP="001D4F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634ABBD7" w14:textId="45150657" w:rsidR="00536A17" w:rsidRDefault="00536A17" w:rsidP="001D4F09">
      <w:pPr>
        <w:spacing w:after="0" w:line="360" w:lineRule="auto"/>
        <w:jc w:val="both"/>
        <w:rPr>
          <w:rFonts w:ascii="Times New Roman" w:hAnsi="Times New Roman" w:cs="Times New Roman"/>
          <w:b/>
          <w:bCs/>
          <w:sz w:val="28"/>
          <w:szCs w:val="28"/>
          <w:lang w:val="en-ZA"/>
        </w:rPr>
      </w:pPr>
    </w:p>
    <w:p w14:paraId="52A10C46" w14:textId="57B23259" w:rsidR="00536A17" w:rsidRDefault="00536A17" w:rsidP="001D4F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FIRST NATIONAL BANK OF LESOTHO LTD</w:t>
      </w:r>
      <w:r>
        <w:rPr>
          <w:rFonts w:ascii="Times New Roman" w:hAnsi="Times New Roman" w:cs="Times New Roman"/>
          <w:b/>
          <w:bCs/>
          <w:sz w:val="28"/>
          <w:szCs w:val="28"/>
          <w:lang w:val="en-ZA"/>
        </w:rPr>
        <w:tab/>
        <w:t>RESPONDENT</w:t>
      </w:r>
    </w:p>
    <w:p w14:paraId="6A426E8D" w14:textId="1197F87C" w:rsidR="00536A17" w:rsidRDefault="00536A17" w:rsidP="001D4F09">
      <w:pPr>
        <w:spacing w:after="0" w:line="360" w:lineRule="auto"/>
        <w:jc w:val="both"/>
        <w:rPr>
          <w:rFonts w:ascii="Times New Roman" w:hAnsi="Times New Roman" w:cs="Times New Roman"/>
          <w:b/>
          <w:bCs/>
          <w:sz w:val="28"/>
          <w:szCs w:val="28"/>
          <w:lang w:val="en-ZA"/>
        </w:rPr>
      </w:pPr>
    </w:p>
    <w:p w14:paraId="0E2457AF" w14:textId="2344959D" w:rsidR="00536A17" w:rsidRDefault="00536A17" w:rsidP="001D4F09">
      <w:pPr>
        <w:spacing w:after="0" w:line="360" w:lineRule="auto"/>
        <w:jc w:val="both"/>
        <w:rPr>
          <w:rFonts w:ascii="Times New Roman" w:hAnsi="Times New Roman" w:cs="Times New Roman"/>
          <w:b/>
          <w:bCs/>
          <w:sz w:val="28"/>
          <w:szCs w:val="28"/>
          <w:lang w:val="en-ZA"/>
        </w:rPr>
      </w:pPr>
    </w:p>
    <w:p w14:paraId="192C74FD" w14:textId="7F621AF6" w:rsidR="00536A17" w:rsidRDefault="00536A17" w:rsidP="001D4F09">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Mamare Rampooana &amp; 2 </w:t>
      </w:r>
      <w:r w:rsidR="0098527A">
        <w:rPr>
          <w:rFonts w:ascii="Times New Roman" w:hAnsi="Times New Roman" w:cs="Times New Roman"/>
          <w:sz w:val="28"/>
          <w:szCs w:val="28"/>
          <w:lang w:val="en-ZA"/>
        </w:rPr>
        <w:t>O</w:t>
      </w:r>
      <w:r>
        <w:rPr>
          <w:rFonts w:ascii="Times New Roman" w:hAnsi="Times New Roman" w:cs="Times New Roman"/>
          <w:sz w:val="28"/>
          <w:szCs w:val="28"/>
          <w:lang w:val="en-ZA"/>
        </w:rPr>
        <w:t xml:space="preserve">thers v First National Bank of Lesotho Ltd. [2023] LSHC </w:t>
      </w:r>
      <w:r w:rsidR="00D51575">
        <w:rPr>
          <w:rFonts w:ascii="Times New Roman" w:hAnsi="Times New Roman" w:cs="Times New Roman"/>
          <w:sz w:val="28"/>
          <w:szCs w:val="28"/>
          <w:lang w:val="en-ZA"/>
        </w:rPr>
        <w:t xml:space="preserve">132 </w:t>
      </w:r>
      <w:bookmarkStart w:id="0" w:name="_GoBack"/>
      <w:bookmarkEnd w:id="0"/>
      <w:r w:rsidR="0098527A">
        <w:rPr>
          <w:rFonts w:ascii="Times New Roman" w:hAnsi="Times New Roman" w:cs="Times New Roman"/>
          <w:sz w:val="28"/>
          <w:szCs w:val="28"/>
          <w:lang w:val="en-ZA"/>
        </w:rPr>
        <w:t>Comm (</w:t>
      </w:r>
      <w:r w:rsidR="009E01DD">
        <w:rPr>
          <w:rFonts w:ascii="Times New Roman" w:hAnsi="Times New Roman" w:cs="Times New Roman"/>
          <w:sz w:val="28"/>
          <w:szCs w:val="28"/>
          <w:lang w:val="en-ZA"/>
        </w:rPr>
        <w:t>03</w:t>
      </w:r>
      <w:r w:rsidR="009E01DD" w:rsidRPr="009E01DD">
        <w:rPr>
          <w:rFonts w:ascii="Times New Roman" w:hAnsi="Times New Roman" w:cs="Times New Roman"/>
          <w:sz w:val="28"/>
          <w:szCs w:val="28"/>
          <w:vertAlign w:val="superscript"/>
          <w:lang w:val="en-ZA"/>
        </w:rPr>
        <w:t>RD</w:t>
      </w:r>
      <w:r w:rsidR="009E01DD">
        <w:rPr>
          <w:rFonts w:ascii="Times New Roman" w:hAnsi="Times New Roman" w:cs="Times New Roman"/>
          <w:sz w:val="28"/>
          <w:szCs w:val="28"/>
          <w:lang w:val="en-ZA"/>
        </w:rPr>
        <w:t xml:space="preserve"> AUGUST</w:t>
      </w:r>
      <w:r w:rsidR="0098527A">
        <w:rPr>
          <w:rFonts w:ascii="Times New Roman" w:hAnsi="Times New Roman" w:cs="Times New Roman"/>
          <w:sz w:val="28"/>
          <w:szCs w:val="28"/>
          <w:lang w:val="en-ZA"/>
        </w:rPr>
        <w:t xml:space="preserve"> </w:t>
      </w:r>
      <w:r>
        <w:rPr>
          <w:rFonts w:ascii="Times New Roman" w:hAnsi="Times New Roman" w:cs="Times New Roman"/>
          <w:sz w:val="28"/>
          <w:szCs w:val="28"/>
          <w:lang w:val="en-ZA"/>
        </w:rPr>
        <w:t>2023)</w:t>
      </w:r>
    </w:p>
    <w:p w14:paraId="5D3A57C2" w14:textId="22458C6A" w:rsidR="00536A17" w:rsidRDefault="00536A17" w:rsidP="001D4F09">
      <w:pPr>
        <w:spacing w:after="0" w:line="360" w:lineRule="auto"/>
        <w:jc w:val="both"/>
        <w:rPr>
          <w:rFonts w:ascii="Times New Roman" w:hAnsi="Times New Roman" w:cs="Times New Roman"/>
          <w:sz w:val="28"/>
          <w:szCs w:val="28"/>
          <w:lang w:val="en-ZA"/>
        </w:rPr>
      </w:pPr>
    </w:p>
    <w:p w14:paraId="6128774D" w14:textId="515CE960" w:rsidR="00536A17" w:rsidRDefault="00536A17" w:rsidP="001D4F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7471E010" w14:textId="6A8E43D2" w:rsidR="00536A17" w:rsidRDefault="00536A17" w:rsidP="001D4F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98527A">
        <w:rPr>
          <w:rFonts w:ascii="Times New Roman" w:hAnsi="Times New Roman" w:cs="Times New Roman"/>
          <w:b/>
          <w:bCs/>
          <w:sz w:val="28"/>
          <w:szCs w:val="28"/>
          <w:lang w:val="en-ZA"/>
        </w:rPr>
        <w:t xml:space="preserve">                09</w:t>
      </w:r>
      <w:r w:rsidR="0098527A" w:rsidRPr="0098527A">
        <w:rPr>
          <w:rFonts w:ascii="Times New Roman" w:hAnsi="Times New Roman" w:cs="Times New Roman"/>
          <w:b/>
          <w:bCs/>
          <w:sz w:val="28"/>
          <w:szCs w:val="28"/>
          <w:vertAlign w:val="superscript"/>
          <w:lang w:val="en-ZA"/>
        </w:rPr>
        <w:t>TH</w:t>
      </w:r>
      <w:r w:rsidR="0098527A">
        <w:rPr>
          <w:rFonts w:ascii="Times New Roman" w:hAnsi="Times New Roman" w:cs="Times New Roman"/>
          <w:b/>
          <w:bCs/>
          <w:sz w:val="28"/>
          <w:szCs w:val="28"/>
          <w:lang w:val="en-ZA"/>
        </w:rPr>
        <w:t xml:space="preserve"> MARCH 2023</w:t>
      </w:r>
    </w:p>
    <w:p w14:paraId="49C240D5" w14:textId="1DBFFA0E" w:rsidR="00536A17" w:rsidRDefault="00536A17" w:rsidP="001D4F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98527A">
        <w:rPr>
          <w:rFonts w:ascii="Times New Roman" w:hAnsi="Times New Roman" w:cs="Times New Roman"/>
          <w:b/>
          <w:bCs/>
          <w:sz w:val="28"/>
          <w:szCs w:val="28"/>
          <w:lang w:val="en-ZA"/>
        </w:rPr>
        <w:t xml:space="preserve">    </w:t>
      </w:r>
      <w:r w:rsidR="00020F66">
        <w:rPr>
          <w:rFonts w:ascii="Times New Roman" w:hAnsi="Times New Roman" w:cs="Times New Roman"/>
          <w:b/>
          <w:bCs/>
          <w:sz w:val="28"/>
          <w:szCs w:val="28"/>
          <w:lang w:val="en-ZA"/>
        </w:rPr>
        <w:tab/>
        <w:t xml:space="preserve"> 03 AUGUST</w:t>
      </w:r>
      <w:r w:rsidR="0098527A">
        <w:rPr>
          <w:rFonts w:ascii="Times New Roman" w:hAnsi="Times New Roman" w:cs="Times New Roman"/>
          <w:b/>
          <w:bCs/>
          <w:sz w:val="28"/>
          <w:szCs w:val="28"/>
          <w:lang w:val="en-ZA"/>
        </w:rPr>
        <w:t xml:space="preserve"> 2023</w:t>
      </w:r>
    </w:p>
    <w:p w14:paraId="05B298AC" w14:textId="61CA331C" w:rsidR="00CE568C" w:rsidRPr="00CE568C" w:rsidRDefault="00CE568C" w:rsidP="00CE568C">
      <w:pPr>
        <w:spacing w:after="0" w:line="360" w:lineRule="auto"/>
        <w:ind w:left="2880" w:firstLine="720"/>
        <w:jc w:val="both"/>
        <w:rPr>
          <w:rFonts w:ascii="Times New Roman" w:hAnsi="Times New Roman" w:cs="Times New Roman"/>
          <w:b/>
          <w:bCs/>
          <w:sz w:val="28"/>
          <w:szCs w:val="28"/>
          <w:u w:val="single"/>
          <w:lang w:val="en-ZA"/>
        </w:rPr>
      </w:pPr>
      <w:r w:rsidRPr="00CE568C">
        <w:rPr>
          <w:rFonts w:ascii="Times New Roman" w:hAnsi="Times New Roman" w:cs="Times New Roman"/>
          <w:b/>
          <w:bCs/>
          <w:sz w:val="28"/>
          <w:szCs w:val="28"/>
          <w:u w:val="single"/>
          <w:lang w:val="en-ZA"/>
        </w:rPr>
        <w:lastRenderedPageBreak/>
        <w:t>SUMMARY</w:t>
      </w:r>
    </w:p>
    <w:p w14:paraId="4AAF7F3B" w14:textId="49C89A48" w:rsidR="00C850AD" w:rsidRPr="00C850AD" w:rsidRDefault="00CE568C" w:rsidP="008F26B1">
      <w:pPr>
        <w:pStyle w:val="ListParagraph"/>
        <w:spacing w:after="0" w:line="360" w:lineRule="auto"/>
        <w:ind w:left="227"/>
        <w:jc w:val="both"/>
        <w:rPr>
          <w:rFonts w:ascii="Times New Roman" w:hAnsi="Times New Roman" w:cs="Times New Roman"/>
          <w:b/>
          <w:bCs/>
          <w:sz w:val="28"/>
          <w:szCs w:val="28"/>
          <w:lang w:val="en-ZA"/>
        </w:rPr>
      </w:pPr>
      <w:r w:rsidRPr="00C850AD">
        <w:rPr>
          <w:rFonts w:ascii="Times New Roman" w:hAnsi="Times New Roman" w:cs="Times New Roman"/>
          <w:b/>
          <w:bCs/>
          <w:sz w:val="28"/>
          <w:szCs w:val="28"/>
          <w:lang w:val="en-ZA"/>
        </w:rPr>
        <w:t>Law of Banking:</w:t>
      </w:r>
      <w:r w:rsidR="00C850AD" w:rsidRPr="00C850AD">
        <w:rPr>
          <w:rFonts w:ascii="Times New Roman" w:hAnsi="Times New Roman" w:cs="Times New Roman"/>
          <w:b/>
          <w:bCs/>
          <w:sz w:val="28"/>
          <w:szCs w:val="28"/>
          <w:lang w:val="en-ZA"/>
        </w:rPr>
        <w:t xml:space="preserve"> </w:t>
      </w:r>
      <w:r w:rsidR="00C850AD" w:rsidRPr="00C850AD">
        <w:rPr>
          <w:rFonts w:ascii="Times New Roman" w:hAnsi="Times New Roman" w:cs="Times New Roman"/>
          <w:i/>
          <w:iCs/>
          <w:sz w:val="28"/>
          <w:szCs w:val="28"/>
          <w:lang w:val="en-ZA"/>
        </w:rPr>
        <w:t>The bank froze its customer’s bank account on account of what it suspected as money laundering- the bank relied on Financial Institutions (Anti-Money Laundering Guideline 2000, Money Laundering (Accountable Institutions) Guidelines, 2013, Money Laundering Regulations No. 19 of 2019 and Money Laundering and Proceeds of Crime Act, 2008 as amended</w:t>
      </w:r>
      <w:r w:rsidR="00C850AD">
        <w:rPr>
          <w:rFonts w:ascii="Times New Roman" w:hAnsi="Times New Roman" w:cs="Times New Roman"/>
          <w:i/>
          <w:iCs/>
          <w:sz w:val="28"/>
          <w:szCs w:val="28"/>
          <w:lang w:val="en-ZA"/>
        </w:rPr>
        <w:t>, for its actions</w:t>
      </w:r>
      <w:r w:rsidR="00C850AD" w:rsidRPr="00C850AD">
        <w:rPr>
          <w:rFonts w:ascii="Times New Roman" w:hAnsi="Times New Roman" w:cs="Times New Roman"/>
          <w:i/>
          <w:iCs/>
          <w:sz w:val="28"/>
          <w:szCs w:val="28"/>
          <w:lang w:val="en-ZA"/>
        </w:rPr>
        <w:t xml:space="preserve">- Held, these laws do not in any manner authorise the bank to freeze its customer’s bank account- Held, further that the bank’s obligation in relation to combating money laundering is restricted to reporting </w:t>
      </w:r>
      <w:r w:rsidR="00846372">
        <w:rPr>
          <w:rFonts w:ascii="Times New Roman" w:hAnsi="Times New Roman" w:cs="Times New Roman"/>
          <w:i/>
          <w:iCs/>
          <w:sz w:val="28"/>
          <w:szCs w:val="28"/>
          <w:lang w:val="en-ZA"/>
        </w:rPr>
        <w:t xml:space="preserve">suspicious activities </w:t>
      </w:r>
      <w:r w:rsidR="00C850AD" w:rsidRPr="00C850AD">
        <w:rPr>
          <w:rFonts w:ascii="Times New Roman" w:hAnsi="Times New Roman" w:cs="Times New Roman"/>
          <w:i/>
          <w:iCs/>
          <w:sz w:val="28"/>
          <w:szCs w:val="28"/>
          <w:lang w:val="en-ZA"/>
        </w:rPr>
        <w:t>to relevant authorities.  The bank can only freeze its customer’s bank account on the strength of a court order obtained by relevant law enforcement authorities.</w:t>
      </w:r>
    </w:p>
    <w:p w14:paraId="49B0D3F9" w14:textId="77777777" w:rsidR="00C850AD" w:rsidRPr="00C850AD" w:rsidRDefault="00C850AD" w:rsidP="00C850AD">
      <w:pPr>
        <w:spacing w:after="0" w:line="360" w:lineRule="auto"/>
        <w:jc w:val="both"/>
        <w:rPr>
          <w:rFonts w:ascii="Times New Roman" w:hAnsi="Times New Roman" w:cs="Times New Roman"/>
          <w:b/>
          <w:bCs/>
          <w:sz w:val="28"/>
          <w:szCs w:val="28"/>
          <w:lang w:val="en-ZA"/>
        </w:rPr>
      </w:pPr>
    </w:p>
    <w:p w14:paraId="6DB2284E" w14:textId="77777777" w:rsidR="00CE568C" w:rsidRDefault="00CE568C" w:rsidP="00CE568C">
      <w:pPr>
        <w:spacing w:after="0" w:line="360" w:lineRule="auto"/>
        <w:jc w:val="both"/>
        <w:rPr>
          <w:rFonts w:ascii="Times New Roman" w:hAnsi="Times New Roman" w:cs="Times New Roman"/>
          <w:b/>
          <w:bCs/>
          <w:sz w:val="28"/>
          <w:szCs w:val="28"/>
          <w:lang w:val="en-ZA"/>
        </w:rPr>
      </w:pPr>
    </w:p>
    <w:p w14:paraId="1D4C9BC3" w14:textId="390B04B3" w:rsidR="00CE568C" w:rsidRDefault="00CE568C" w:rsidP="00CE568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36038BB2" w14:textId="02853623" w:rsidR="000A20C5" w:rsidRDefault="000A20C5" w:rsidP="00CE568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36F4E53F" w14:textId="6C0B634C" w:rsidR="000A20C5" w:rsidRDefault="000A20C5" w:rsidP="00CE568C">
      <w:pPr>
        <w:spacing w:after="0" w:line="360" w:lineRule="auto"/>
        <w:jc w:val="both"/>
        <w:rPr>
          <w:rFonts w:ascii="Times New Roman" w:hAnsi="Times New Roman" w:cs="Times New Roman"/>
          <w:b/>
          <w:bCs/>
          <w:i/>
          <w:iCs/>
          <w:sz w:val="28"/>
          <w:szCs w:val="28"/>
          <w:lang w:val="en-ZA"/>
        </w:rPr>
      </w:pPr>
      <w:r w:rsidRPr="000A20C5">
        <w:rPr>
          <w:rFonts w:ascii="Times New Roman" w:hAnsi="Times New Roman" w:cs="Times New Roman"/>
          <w:b/>
          <w:bCs/>
          <w:sz w:val="28"/>
          <w:szCs w:val="28"/>
          <w:lang w:val="en-ZA"/>
        </w:rPr>
        <w:t xml:space="preserve">Herbstein &amp; Van Winsen </w:t>
      </w:r>
      <w:r w:rsidRPr="000A20C5">
        <w:rPr>
          <w:rFonts w:ascii="Times New Roman" w:hAnsi="Times New Roman" w:cs="Times New Roman"/>
          <w:b/>
          <w:bCs/>
          <w:i/>
          <w:iCs/>
          <w:sz w:val="28"/>
          <w:szCs w:val="28"/>
          <w:lang w:val="en-ZA"/>
        </w:rPr>
        <w:t>The Civil Practice of the High Courts of South Africa (2009) 5 ed. Vol. 1</w:t>
      </w:r>
    </w:p>
    <w:p w14:paraId="6A2FD421" w14:textId="77777777" w:rsidR="000A20C5" w:rsidRDefault="000A20C5" w:rsidP="00CE568C">
      <w:pPr>
        <w:spacing w:after="0" w:line="360" w:lineRule="auto"/>
        <w:jc w:val="both"/>
        <w:rPr>
          <w:rFonts w:ascii="Times New Roman" w:hAnsi="Times New Roman" w:cs="Times New Roman"/>
          <w:b/>
          <w:bCs/>
          <w:sz w:val="28"/>
          <w:szCs w:val="28"/>
          <w:lang w:val="en-ZA"/>
        </w:rPr>
      </w:pPr>
    </w:p>
    <w:p w14:paraId="7F40FF4E" w14:textId="476339AF" w:rsidR="00CE568C" w:rsidRDefault="00CE568C" w:rsidP="00CE568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Legislation</w:t>
      </w:r>
    </w:p>
    <w:p w14:paraId="62F677D1" w14:textId="77777777" w:rsidR="00F02629" w:rsidRPr="00F02629" w:rsidRDefault="00F02629" w:rsidP="00CE568C">
      <w:pPr>
        <w:spacing w:after="0" w:line="360" w:lineRule="auto"/>
        <w:jc w:val="both"/>
        <w:rPr>
          <w:rFonts w:ascii="Times New Roman" w:hAnsi="Times New Roman" w:cs="Times New Roman"/>
          <w:sz w:val="28"/>
          <w:szCs w:val="28"/>
          <w:lang w:val="en-ZA"/>
        </w:rPr>
      </w:pPr>
      <w:bookmarkStart w:id="1" w:name="_Hlk141190711"/>
      <w:r w:rsidRPr="00F02629">
        <w:rPr>
          <w:rFonts w:ascii="Times New Roman" w:hAnsi="Times New Roman" w:cs="Times New Roman"/>
          <w:sz w:val="28"/>
          <w:szCs w:val="28"/>
          <w:lang w:val="en-ZA"/>
        </w:rPr>
        <w:t>Financial Institutions (Anti-Money Laundering Guideline 2000</w:t>
      </w:r>
    </w:p>
    <w:p w14:paraId="4BD913DD" w14:textId="5D121D7A" w:rsidR="00F02629" w:rsidRPr="00F02629" w:rsidRDefault="00F02629" w:rsidP="00CE568C">
      <w:pPr>
        <w:spacing w:after="0" w:line="360" w:lineRule="auto"/>
        <w:jc w:val="both"/>
        <w:rPr>
          <w:rFonts w:ascii="Times New Roman" w:hAnsi="Times New Roman" w:cs="Times New Roman"/>
          <w:sz w:val="28"/>
          <w:szCs w:val="28"/>
          <w:lang w:val="en-ZA"/>
        </w:rPr>
      </w:pPr>
      <w:r w:rsidRPr="00F02629">
        <w:rPr>
          <w:rFonts w:ascii="Times New Roman" w:hAnsi="Times New Roman" w:cs="Times New Roman"/>
          <w:sz w:val="28"/>
          <w:szCs w:val="28"/>
          <w:lang w:val="en-ZA"/>
        </w:rPr>
        <w:t>Money Laundering (Accountable Institutions) Guidelines, 2013</w:t>
      </w:r>
    </w:p>
    <w:p w14:paraId="1954253C" w14:textId="2DF00E36" w:rsidR="00CE568C" w:rsidRPr="005C2F6F" w:rsidRDefault="005C2F6F" w:rsidP="00CE568C">
      <w:pPr>
        <w:spacing w:after="0" w:line="360" w:lineRule="auto"/>
        <w:jc w:val="both"/>
        <w:rPr>
          <w:rFonts w:ascii="Times New Roman" w:hAnsi="Times New Roman" w:cs="Times New Roman"/>
          <w:sz w:val="28"/>
          <w:szCs w:val="28"/>
          <w:lang w:val="en-ZA"/>
        </w:rPr>
      </w:pPr>
      <w:r w:rsidRPr="005C2F6F">
        <w:rPr>
          <w:rFonts w:ascii="Times New Roman" w:hAnsi="Times New Roman" w:cs="Times New Roman"/>
          <w:sz w:val="28"/>
          <w:szCs w:val="28"/>
          <w:lang w:val="en-ZA"/>
        </w:rPr>
        <w:t>Money Laundering Regulations No. 19 of 2019</w:t>
      </w:r>
    </w:p>
    <w:p w14:paraId="761EE483" w14:textId="0EC524A9" w:rsidR="005C2F6F" w:rsidRDefault="005C2F6F" w:rsidP="005C2F6F">
      <w:pPr>
        <w:spacing w:after="0" w:line="360" w:lineRule="auto"/>
        <w:jc w:val="both"/>
        <w:rPr>
          <w:rFonts w:ascii="Times New Roman" w:hAnsi="Times New Roman" w:cs="Times New Roman"/>
          <w:sz w:val="28"/>
          <w:szCs w:val="28"/>
          <w:lang w:val="en-ZA"/>
        </w:rPr>
      </w:pPr>
      <w:r w:rsidRPr="005C2F6F">
        <w:rPr>
          <w:rFonts w:ascii="Times New Roman" w:hAnsi="Times New Roman" w:cs="Times New Roman"/>
          <w:sz w:val="28"/>
          <w:szCs w:val="28"/>
          <w:lang w:val="en-ZA"/>
        </w:rPr>
        <w:t xml:space="preserve">Money Laundering and Proceeds of Crime Act, 2008 </w:t>
      </w:r>
      <w:r w:rsidR="00F02629">
        <w:rPr>
          <w:rFonts w:ascii="Times New Roman" w:hAnsi="Times New Roman" w:cs="Times New Roman"/>
          <w:sz w:val="28"/>
          <w:szCs w:val="28"/>
          <w:lang w:val="en-ZA"/>
        </w:rPr>
        <w:t>as amended</w:t>
      </w:r>
    </w:p>
    <w:p w14:paraId="6EC37F95" w14:textId="77777777" w:rsidR="00342B0B" w:rsidRDefault="00342B0B" w:rsidP="005C2F6F">
      <w:pPr>
        <w:spacing w:after="0" w:line="360" w:lineRule="auto"/>
        <w:jc w:val="both"/>
        <w:rPr>
          <w:rFonts w:ascii="Times New Roman" w:hAnsi="Times New Roman" w:cs="Times New Roman"/>
          <w:sz w:val="28"/>
          <w:szCs w:val="28"/>
          <w:lang w:val="en-ZA"/>
        </w:rPr>
      </w:pPr>
    </w:p>
    <w:bookmarkEnd w:id="1"/>
    <w:p w14:paraId="3E84196C" w14:textId="4F535E8F" w:rsidR="00342B0B" w:rsidRPr="00342B0B" w:rsidRDefault="00342B0B" w:rsidP="005C2F6F">
      <w:pPr>
        <w:spacing w:after="0" w:line="360" w:lineRule="auto"/>
        <w:jc w:val="both"/>
        <w:rPr>
          <w:rFonts w:ascii="Times New Roman" w:hAnsi="Times New Roman" w:cs="Times New Roman"/>
          <w:b/>
          <w:bCs/>
          <w:sz w:val="28"/>
          <w:szCs w:val="28"/>
          <w:lang w:val="en-ZA"/>
        </w:rPr>
      </w:pPr>
      <w:r w:rsidRPr="00342B0B">
        <w:rPr>
          <w:rFonts w:ascii="Times New Roman" w:hAnsi="Times New Roman" w:cs="Times New Roman"/>
          <w:b/>
          <w:bCs/>
          <w:sz w:val="28"/>
          <w:szCs w:val="28"/>
          <w:lang w:val="en-ZA"/>
        </w:rPr>
        <w:t>Legislation from other jurisdictions</w:t>
      </w:r>
    </w:p>
    <w:p w14:paraId="734B867A" w14:textId="4C5F8085" w:rsidR="005C2F6F" w:rsidRDefault="00342B0B" w:rsidP="00CE568C">
      <w:pPr>
        <w:spacing w:after="0" w:line="360" w:lineRule="auto"/>
        <w:jc w:val="both"/>
        <w:rPr>
          <w:rFonts w:ascii="Times New Roman" w:hAnsi="Times New Roman" w:cs="Times New Roman"/>
          <w:sz w:val="28"/>
          <w:szCs w:val="28"/>
          <w:lang w:val="en-ZA"/>
        </w:rPr>
      </w:pPr>
      <w:r w:rsidRPr="00342B0B">
        <w:rPr>
          <w:rFonts w:ascii="Times New Roman" w:hAnsi="Times New Roman" w:cs="Times New Roman"/>
          <w:sz w:val="28"/>
          <w:szCs w:val="28"/>
          <w:lang w:val="en-ZA"/>
        </w:rPr>
        <w:t>Financial Intelligence Centre Act 38 of 2008</w:t>
      </w:r>
    </w:p>
    <w:p w14:paraId="0FD4833E" w14:textId="77777777" w:rsidR="00342B0B" w:rsidRPr="005C2F6F" w:rsidRDefault="00342B0B" w:rsidP="00CE568C">
      <w:pPr>
        <w:spacing w:after="0" w:line="360" w:lineRule="auto"/>
        <w:jc w:val="both"/>
        <w:rPr>
          <w:rFonts w:ascii="Times New Roman" w:hAnsi="Times New Roman" w:cs="Times New Roman"/>
          <w:sz w:val="28"/>
          <w:szCs w:val="28"/>
          <w:lang w:val="en-ZA"/>
        </w:rPr>
      </w:pPr>
    </w:p>
    <w:p w14:paraId="4A8C077A" w14:textId="5EBD6963" w:rsidR="00CE568C" w:rsidRDefault="00CE568C" w:rsidP="00CE568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Cases</w:t>
      </w:r>
    </w:p>
    <w:p w14:paraId="258C99AB" w14:textId="4AA5B2C7" w:rsidR="00CE568C" w:rsidRPr="007206BA" w:rsidRDefault="00FD393C" w:rsidP="00CE568C">
      <w:pPr>
        <w:spacing w:after="0" w:line="360" w:lineRule="auto"/>
        <w:jc w:val="both"/>
        <w:rPr>
          <w:rFonts w:ascii="Times New Roman" w:hAnsi="Times New Roman" w:cs="Times New Roman"/>
          <w:sz w:val="28"/>
          <w:szCs w:val="28"/>
          <w:lang w:val="en-ZA"/>
        </w:rPr>
      </w:pPr>
      <w:r w:rsidRPr="007206BA">
        <w:rPr>
          <w:rFonts w:ascii="Times New Roman" w:hAnsi="Times New Roman" w:cs="Times New Roman"/>
          <w:sz w:val="28"/>
          <w:szCs w:val="28"/>
          <w:lang w:val="en-ZA"/>
        </w:rPr>
        <w:t>Mars Incorporated v Candy World (Pty) Ltd [1990] ZASCA 149: 1991 (1) SA 567</w:t>
      </w:r>
    </w:p>
    <w:p w14:paraId="43AE36D6" w14:textId="346D402C" w:rsidR="00CE568C" w:rsidRPr="007206BA" w:rsidRDefault="00C21C10" w:rsidP="00CE568C">
      <w:pPr>
        <w:spacing w:after="0" w:line="360" w:lineRule="auto"/>
        <w:jc w:val="both"/>
        <w:rPr>
          <w:rFonts w:ascii="Times New Roman" w:hAnsi="Times New Roman" w:cs="Times New Roman"/>
          <w:sz w:val="28"/>
          <w:szCs w:val="28"/>
          <w:lang w:val="en-ZA"/>
        </w:rPr>
      </w:pPr>
      <w:r w:rsidRPr="007206BA">
        <w:rPr>
          <w:rFonts w:ascii="Times New Roman" w:hAnsi="Times New Roman" w:cs="Times New Roman"/>
          <w:sz w:val="28"/>
          <w:szCs w:val="28"/>
          <w:lang w:val="en-ZA"/>
        </w:rPr>
        <w:t>South African Petroleum Energy Guild (NPC) v RMB Private Bank (2014/27890) [2014] ZAGPJHC 368 (5 December 2014)</w:t>
      </w:r>
    </w:p>
    <w:p w14:paraId="24E2132A" w14:textId="77777777" w:rsidR="00C21C10" w:rsidRPr="007206BA" w:rsidRDefault="00C21C10" w:rsidP="00CE568C">
      <w:pPr>
        <w:spacing w:after="0" w:line="360" w:lineRule="auto"/>
        <w:jc w:val="both"/>
        <w:rPr>
          <w:rFonts w:ascii="Times New Roman" w:hAnsi="Times New Roman" w:cs="Times New Roman"/>
          <w:sz w:val="28"/>
          <w:szCs w:val="28"/>
          <w:lang w:val="en-ZA"/>
        </w:rPr>
      </w:pPr>
    </w:p>
    <w:p w14:paraId="4E8480DF" w14:textId="77777777" w:rsidR="00C21C10" w:rsidRDefault="00C21C10" w:rsidP="00CE568C">
      <w:pPr>
        <w:spacing w:after="0" w:line="360" w:lineRule="auto"/>
        <w:jc w:val="both"/>
        <w:rPr>
          <w:rFonts w:ascii="Times New Roman" w:hAnsi="Times New Roman" w:cs="Times New Roman"/>
          <w:b/>
          <w:bCs/>
          <w:sz w:val="28"/>
          <w:szCs w:val="28"/>
          <w:lang w:val="en-ZA"/>
        </w:rPr>
      </w:pPr>
    </w:p>
    <w:p w14:paraId="5337BE5F" w14:textId="77777777" w:rsidR="00C21C10" w:rsidRDefault="00C21C10" w:rsidP="00CE568C">
      <w:pPr>
        <w:spacing w:after="0" w:line="360" w:lineRule="auto"/>
        <w:jc w:val="both"/>
        <w:rPr>
          <w:rFonts w:ascii="Times New Roman" w:hAnsi="Times New Roman" w:cs="Times New Roman"/>
          <w:b/>
          <w:bCs/>
          <w:sz w:val="28"/>
          <w:szCs w:val="28"/>
          <w:lang w:val="en-ZA"/>
        </w:rPr>
      </w:pPr>
    </w:p>
    <w:p w14:paraId="56832337" w14:textId="7FEAEB10" w:rsidR="001D4F09" w:rsidRDefault="001D4F09" w:rsidP="006C7A6B">
      <w:pPr>
        <w:spacing w:after="0" w:line="360" w:lineRule="auto"/>
        <w:jc w:val="center"/>
        <w:rPr>
          <w:rFonts w:ascii="Times New Roman" w:hAnsi="Times New Roman" w:cs="Times New Roman"/>
          <w:b/>
          <w:bCs/>
          <w:sz w:val="32"/>
          <w:szCs w:val="32"/>
          <w:u w:val="single"/>
          <w:lang w:val="en-ZA"/>
        </w:rPr>
      </w:pPr>
    </w:p>
    <w:p w14:paraId="22005FFC"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5551F4A4"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12822EF9"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624CB137"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703D5149"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5152F7A6"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73D96A02"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768B5A7B"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3B0E731C"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4BED26CA"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6F213847"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035CE37D"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4AE64B92" w14:textId="6E45FE74" w:rsidR="00D1391E" w:rsidRDefault="00D1391E" w:rsidP="006C7A6B">
      <w:pPr>
        <w:spacing w:after="0" w:line="360" w:lineRule="auto"/>
        <w:jc w:val="center"/>
        <w:rPr>
          <w:rFonts w:ascii="Times New Roman" w:hAnsi="Times New Roman" w:cs="Times New Roman"/>
          <w:b/>
          <w:bCs/>
          <w:sz w:val="32"/>
          <w:szCs w:val="32"/>
          <w:u w:val="single"/>
          <w:lang w:val="en-ZA"/>
        </w:rPr>
      </w:pPr>
    </w:p>
    <w:p w14:paraId="0E3FA533" w14:textId="3AB14F26" w:rsidR="004D4B77" w:rsidRDefault="004D4B77" w:rsidP="006C7A6B">
      <w:pPr>
        <w:spacing w:after="0" w:line="360" w:lineRule="auto"/>
        <w:jc w:val="center"/>
        <w:rPr>
          <w:rFonts w:ascii="Times New Roman" w:hAnsi="Times New Roman" w:cs="Times New Roman"/>
          <w:b/>
          <w:bCs/>
          <w:sz w:val="32"/>
          <w:szCs w:val="32"/>
          <w:u w:val="single"/>
          <w:lang w:val="en-ZA"/>
        </w:rPr>
      </w:pPr>
    </w:p>
    <w:p w14:paraId="3F36326E" w14:textId="77777777" w:rsidR="004D4B77" w:rsidRDefault="004D4B77" w:rsidP="006C7A6B">
      <w:pPr>
        <w:spacing w:after="0" w:line="360" w:lineRule="auto"/>
        <w:jc w:val="center"/>
        <w:rPr>
          <w:rFonts w:ascii="Times New Roman" w:hAnsi="Times New Roman" w:cs="Times New Roman"/>
          <w:b/>
          <w:bCs/>
          <w:sz w:val="32"/>
          <w:szCs w:val="32"/>
          <w:u w:val="single"/>
          <w:lang w:val="en-ZA"/>
        </w:rPr>
      </w:pPr>
    </w:p>
    <w:p w14:paraId="67250395" w14:textId="77777777" w:rsidR="00D1391E" w:rsidRDefault="00D1391E" w:rsidP="006C7A6B">
      <w:pPr>
        <w:spacing w:after="0" w:line="360" w:lineRule="auto"/>
        <w:jc w:val="center"/>
        <w:rPr>
          <w:rFonts w:ascii="Times New Roman" w:hAnsi="Times New Roman" w:cs="Times New Roman"/>
          <w:b/>
          <w:bCs/>
          <w:sz w:val="32"/>
          <w:szCs w:val="32"/>
          <w:u w:val="single"/>
          <w:lang w:val="en-ZA"/>
        </w:rPr>
      </w:pPr>
    </w:p>
    <w:p w14:paraId="1532CF1F" w14:textId="419FC262" w:rsidR="006C7A6B" w:rsidRDefault="006C7A6B" w:rsidP="006C7A6B">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3D11F723" w14:textId="77777777" w:rsidR="006C7A6B" w:rsidRPr="006C7A6B" w:rsidRDefault="006C7A6B" w:rsidP="006C7A6B">
      <w:pPr>
        <w:spacing w:after="0" w:line="360" w:lineRule="auto"/>
        <w:jc w:val="center"/>
        <w:rPr>
          <w:rFonts w:ascii="Times New Roman" w:hAnsi="Times New Roman" w:cs="Times New Roman"/>
          <w:b/>
          <w:bCs/>
          <w:sz w:val="32"/>
          <w:szCs w:val="32"/>
          <w:u w:val="single"/>
          <w:lang w:val="en-ZA"/>
        </w:rPr>
      </w:pPr>
    </w:p>
    <w:p w14:paraId="04DB96D1" w14:textId="404E417A" w:rsidR="00850900" w:rsidRDefault="006C7A6B" w:rsidP="006C7A6B">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Introduction </w:t>
      </w:r>
    </w:p>
    <w:p w14:paraId="46483A41" w14:textId="7F0D4F1F" w:rsidR="006F27D6" w:rsidRDefault="006C7A6B" w:rsidP="006C7A6B">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is an application in terms of which the applicants are seeking decla</w:t>
      </w:r>
      <w:r w:rsidR="006F27D6">
        <w:rPr>
          <w:rFonts w:ascii="Times New Roman" w:hAnsi="Times New Roman" w:cs="Times New Roman"/>
          <w:sz w:val="28"/>
          <w:szCs w:val="28"/>
          <w:lang w:val="en-ZA"/>
        </w:rPr>
        <w:t>ra</w:t>
      </w:r>
      <w:r>
        <w:rPr>
          <w:rFonts w:ascii="Times New Roman" w:hAnsi="Times New Roman" w:cs="Times New Roman"/>
          <w:sz w:val="28"/>
          <w:szCs w:val="28"/>
          <w:lang w:val="en-ZA"/>
        </w:rPr>
        <w:t>tory and</w:t>
      </w:r>
      <w:r w:rsidR="006F27D6">
        <w:rPr>
          <w:rFonts w:ascii="Times New Roman" w:hAnsi="Times New Roman" w:cs="Times New Roman"/>
          <w:sz w:val="28"/>
          <w:szCs w:val="28"/>
          <w:lang w:val="en-ZA"/>
        </w:rPr>
        <w:t xml:space="preserve"> interdictory orders against the respondent</w:t>
      </w:r>
      <w:r w:rsidR="00585B62">
        <w:rPr>
          <w:rFonts w:ascii="Times New Roman" w:hAnsi="Times New Roman" w:cs="Times New Roman"/>
          <w:sz w:val="28"/>
          <w:szCs w:val="28"/>
          <w:lang w:val="en-ZA"/>
        </w:rPr>
        <w:t>,</w:t>
      </w:r>
      <w:r w:rsidR="006F27D6">
        <w:rPr>
          <w:rFonts w:ascii="Times New Roman" w:hAnsi="Times New Roman" w:cs="Times New Roman"/>
          <w:sz w:val="28"/>
          <w:szCs w:val="28"/>
          <w:lang w:val="en-ZA"/>
        </w:rPr>
        <w:t xml:space="preserve"> in the following manner:</w:t>
      </w:r>
    </w:p>
    <w:p w14:paraId="14A094AD" w14:textId="77777777" w:rsidR="006F27D6" w:rsidRDefault="006F27D6" w:rsidP="006F27D6">
      <w:pPr>
        <w:spacing w:after="0" w:line="360" w:lineRule="auto"/>
        <w:jc w:val="both"/>
        <w:rPr>
          <w:rFonts w:ascii="Times New Roman" w:hAnsi="Times New Roman" w:cs="Times New Roman"/>
          <w:sz w:val="28"/>
          <w:szCs w:val="28"/>
          <w:lang w:val="en-ZA"/>
        </w:rPr>
      </w:pPr>
    </w:p>
    <w:p w14:paraId="32285B21" w14:textId="77777777" w:rsidR="006F27D6" w:rsidRDefault="006F27D6" w:rsidP="006F27D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Declaratory the freezing of 1</w:t>
      </w:r>
      <w:r w:rsidRPr="006F27D6">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Applicant’s account 62926685458 by the Respondent on the 96</w:t>
      </w:r>
      <w:r w:rsidRPr="006F27D6">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July 2022 as irregular and unlawful.</w:t>
      </w:r>
    </w:p>
    <w:p w14:paraId="23388012" w14:textId="77777777" w:rsidR="006F27D6" w:rsidRDefault="006F27D6" w:rsidP="006F27D6">
      <w:pPr>
        <w:spacing w:after="0" w:line="360" w:lineRule="auto"/>
        <w:ind w:left="1440" w:right="1008"/>
        <w:jc w:val="both"/>
        <w:rPr>
          <w:rFonts w:ascii="Times New Roman" w:hAnsi="Times New Roman" w:cs="Times New Roman"/>
          <w:i/>
          <w:iCs/>
          <w:sz w:val="24"/>
          <w:szCs w:val="24"/>
          <w:lang w:val="en-ZA"/>
        </w:rPr>
      </w:pPr>
    </w:p>
    <w:p w14:paraId="5EF0C34A" w14:textId="77777777" w:rsidR="006F27D6" w:rsidRDefault="006F27D6" w:rsidP="006F27D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Declaring the reversal of a credit amount of M1,882,852.43 on the 07</w:t>
      </w:r>
      <w:r w:rsidRPr="006F27D6">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July 2022 as irregular and unlawful.</w:t>
      </w:r>
    </w:p>
    <w:p w14:paraId="4B7A5359" w14:textId="77777777" w:rsidR="006F27D6" w:rsidRDefault="006F27D6" w:rsidP="006F27D6">
      <w:pPr>
        <w:spacing w:after="0" w:line="360" w:lineRule="auto"/>
        <w:ind w:left="1440" w:right="1008"/>
        <w:jc w:val="both"/>
        <w:rPr>
          <w:rFonts w:ascii="Times New Roman" w:hAnsi="Times New Roman" w:cs="Times New Roman"/>
          <w:i/>
          <w:iCs/>
          <w:sz w:val="24"/>
          <w:szCs w:val="24"/>
          <w:lang w:val="en-ZA"/>
        </w:rPr>
      </w:pPr>
    </w:p>
    <w:p w14:paraId="1C143480" w14:textId="77777777" w:rsidR="006F27D6" w:rsidRDefault="006F27D6" w:rsidP="006F27D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Directing the Respondent to re-activate 1</w:t>
      </w:r>
      <w:r w:rsidRPr="006F27D6">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Applicant’s account 62926685358 with a M1,882,856.43 credit as it was on the 05</w:t>
      </w:r>
      <w:r w:rsidRPr="006F27D6">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July 2022, forthwith upon receipt of an order of court to that effect.</w:t>
      </w:r>
    </w:p>
    <w:p w14:paraId="741A51BB" w14:textId="77777777" w:rsidR="006F27D6" w:rsidRDefault="006F27D6" w:rsidP="006F27D6">
      <w:pPr>
        <w:spacing w:after="0" w:line="360" w:lineRule="auto"/>
        <w:ind w:left="1440" w:right="1008"/>
        <w:jc w:val="both"/>
        <w:rPr>
          <w:rFonts w:ascii="Times New Roman" w:hAnsi="Times New Roman" w:cs="Times New Roman"/>
          <w:i/>
          <w:iCs/>
          <w:sz w:val="24"/>
          <w:szCs w:val="24"/>
          <w:lang w:val="en-ZA"/>
        </w:rPr>
      </w:pPr>
    </w:p>
    <w:p w14:paraId="3D4DE3C0" w14:textId="77777777" w:rsidR="006F27D6" w:rsidRDefault="006F27D6" w:rsidP="006F27D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Alternatively </w:t>
      </w:r>
    </w:p>
    <w:p w14:paraId="23925373" w14:textId="77777777" w:rsidR="006F27D6" w:rsidRDefault="006F27D6" w:rsidP="006F27D6">
      <w:pPr>
        <w:spacing w:after="0" w:line="360" w:lineRule="auto"/>
        <w:ind w:left="1440" w:right="1008"/>
        <w:jc w:val="both"/>
        <w:rPr>
          <w:rFonts w:ascii="Times New Roman" w:hAnsi="Times New Roman" w:cs="Times New Roman"/>
          <w:i/>
          <w:iCs/>
          <w:sz w:val="24"/>
          <w:szCs w:val="24"/>
          <w:lang w:val="en-ZA"/>
        </w:rPr>
      </w:pPr>
    </w:p>
    <w:p w14:paraId="78AA81FF" w14:textId="77777777" w:rsidR="00A37808" w:rsidRDefault="006F27D6" w:rsidP="006F27D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Restoring status</w:t>
      </w:r>
      <w:r w:rsidR="00A37808">
        <w:rPr>
          <w:rFonts w:ascii="Times New Roman" w:hAnsi="Times New Roman" w:cs="Times New Roman"/>
          <w:i/>
          <w:iCs/>
          <w:sz w:val="24"/>
          <w:szCs w:val="24"/>
          <w:lang w:val="en-ZA"/>
        </w:rPr>
        <w:t xml:space="preserve"> quo ante, 1</w:t>
      </w:r>
      <w:r w:rsidR="00A37808" w:rsidRPr="00A37808">
        <w:rPr>
          <w:rFonts w:ascii="Times New Roman" w:hAnsi="Times New Roman" w:cs="Times New Roman"/>
          <w:i/>
          <w:iCs/>
          <w:sz w:val="24"/>
          <w:szCs w:val="24"/>
          <w:vertAlign w:val="superscript"/>
          <w:lang w:val="en-ZA"/>
        </w:rPr>
        <w:t>st</w:t>
      </w:r>
      <w:r w:rsidR="00A37808">
        <w:rPr>
          <w:rFonts w:ascii="Times New Roman" w:hAnsi="Times New Roman" w:cs="Times New Roman"/>
          <w:i/>
          <w:iCs/>
          <w:sz w:val="24"/>
          <w:szCs w:val="24"/>
          <w:lang w:val="en-ZA"/>
        </w:rPr>
        <w:t xml:space="preserve"> Applicant’s account 62926685258 prior to its freezing on the 06</w:t>
      </w:r>
      <w:r w:rsidR="00A37808" w:rsidRPr="00A37808">
        <w:rPr>
          <w:rFonts w:ascii="Times New Roman" w:hAnsi="Times New Roman" w:cs="Times New Roman"/>
          <w:i/>
          <w:iCs/>
          <w:sz w:val="24"/>
          <w:szCs w:val="24"/>
          <w:vertAlign w:val="superscript"/>
          <w:lang w:val="en-ZA"/>
        </w:rPr>
        <w:t>th</w:t>
      </w:r>
      <w:r w:rsidR="00A37808">
        <w:rPr>
          <w:rFonts w:ascii="Times New Roman" w:hAnsi="Times New Roman" w:cs="Times New Roman"/>
          <w:i/>
          <w:iCs/>
          <w:sz w:val="24"/>
          <w:szCs w:val="24"/>
          <w:lang w:val="en-ZA"/>
        </w:rPr>
        <w:t xml:space="preserve"> July 2022.</w:t>
      </w:r>
    </w:p>
    <w:p w14:paraId="75D3A63F" w14:textId="77777777" w:rsidR="00A37808" w:rsidRDefault="00A37808" w:rsidP="006F27D6">
      <w:pPr>
        <w:spacing w:after="0" w:line="360" w:lineRule="auto"/>
        <w:ind w:left="1440" w:right="1008"/>
        <w:jc w:val="both"/>
        <w:rPr>
          <w:rFonts w:ascii="Times New Roman" w:hAnsi="Times New Roman" w:cs="Times New Roman"/>
          <w:i/>
          <w:iCs/>
          <w:sz w:val="24"/>
          <w:szCs w:val="24"/>
          <w:lang w:val="en-ZA"/>
        </w:rPr>
      </w:pPr>
    </w:p>
    <w:p w14:paraId="436BF70A" w14:textId="77777777" w:rsidR="00A37808" w:rsidRDefault="00A37808" w:rsidP="006F27D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 Interdicting and restraining the Respondent from interfering with 1</w:t>
      </w:r>
      <w:r w:rsidRPr="00A37808">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Applicant’s account 62926685358, except by due process of the law.</w:t>
      </w:r>
    </w:p>
    <w:p w14:paraId="7DFBDF84" w14:textId="77777777" w:rsidR="00A37808" w:rsidRDefault="00A37808" w:rsidP="006F27D6">
      <w:pPr>
        <w:spacing w:after="0" w:line="360" w:lineRule="auto"/>
        <w:ind w:left="1440" w:right="1008"/>
        <w:jc w:val="both"/>
        <w:rPr>
          <w:rFonts w:ascii="Times New Roman" w:hAnsi="Times New Roman" w:cs="Times New Roman"/>
          <w:i/>
          <w:iCs/>
          <w:sz w:val="24"/>
          <w:szCs w:val="24"/>
          <w:lang w:val="en-ZA"/>
        </w:rPr>
      </w:pPr>
    </w:p>
    <w:p w14:paraId="5A00E2F8" w14:textId="37FE1618" w:rsidR="00A37808" w:rsidRDefault="00A37808" w:rsidP="006F27D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6. Ordering the Respondent to pay costs of this application on the attorney and own client scale”</w:t>
      </w:r>
    </w:p>
    <w:p w14:paraId="29A27B0D" w14:textId="26DEC105" w:rsidR="00A37808" w:rsidRDefault="00A37808" w:rsidP="006F27D6">
      <w:pPr>
        <w:spacing w:after="0" w:line="360" w:lineRule="auto"/>
        <w:ind w:left="1440" w:right="1008"/>
        <w:jc w:val="both"/>
        <w:rPr>
          <w:rFonts w:ascii="Times New Roman" w:hAnsi="Times New Roman" w:cs="Times New Roman"/>
          <w:i/>
          <w:iCs/>
          <w:sz w:val="24"/>
          <w:szCs w:val="24"/>
          <w:lang w:val="en-ZA"/>
        </w:rPr>
      </w:pPr>
    </w:p>
    <w:p w14:paraId="4A9F990F" w14:textId="67BFAFC9" w:rsidR="00536A17" w:rsidRDefault="00536A17" w:rsidP="006F27D6">
      <w:pPr>
        <w:spacing w:after="0" w:line="360" w:lineRule="auto"/>
        <w:ind w:left="1440" w:right="1008"/>
        <w:jc w:val="both"/>
        <w:rPr>
          <w:rFonts w:ascii="Times New Roman" w:hAnsi="Times New Roman" w:cs="Times New Roman"/>
          <w:i/>
          <w:iCs/>
          <w:sz w:val="24"/>
          <w:szCs w:val="24"/>
          <w:lang w:val="en-ZA"/>
        </w:rPr>
      </w:pPr>
    </w:p>
    <w:p w14:paraId="3FC79BF8" w14:textId="67B74CC9" w:rsidR="00536A17" w:rsidRDefault="00536A17" w:rsidP="006F27D6">
      <w:pPr>
        <w:spacing w:after="0" w:line="360" w:lineRule="auto"/>
        <w:ind w:left="1440" w:right="1008"/>
        <w:jc w:val="both"/>
        <w:rPr>
          <w:rFonts w:ascii="Times New Roman" w:hAnsi="Times New Roman" w:cs="Times New Roman"/>
          <w:i/>
          <w:iCs/>
          <w:sz w:val="24"/>
          <w:szCs w:val="24"/>
          <w:lang w:val="en-ZA"/>
        </w:rPr>
      </w:pPr>
    </w:p>
    <w:p w14:paraId="7E09B719" w14:textId="77777777" w:rsidR="00536A17" w:rsidRDefault="00536A17" w:rsidP="006F27D6">
      <w:pPr>
        <w:spacing w:after="0" w:line="360" w:lineRule="auto"/>
        <w:ind w:left="1440" w:right="1008"/>
        <w:jc w:val="both"/>
        <w:rPr>
          <w:rFonts w:ascii="Times New Roman" w:hAnsi="Times New Roman" w:cs="Times New Roman"/>
          <w:i/>
          <w:iCs/>
          <w:sz w:val="24"/>
          <w:szCs w:val="24"/>
          <w:lang w:val="en-ZA"/>
        </w:rPr>
      </w:pPr>
    </w:p>
    <w:p w14:paraId="0DE9F797" w14:textId="77777777" w:rsidR="00E15A90" w:rsidRDefault="00A37808" w:rsidP="00A37808">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[2]</w:t>
      </w:r>
      <w:r w:rsidR="00E15A90">
        <w:rPr>
          <w:rFonts w:ascii="Times New Roman" w:hAnsi="Times New Roman" w:cs="Times New Roman"/>
          <w:sz w:val="28"/>
          <w:szCs w:val="28"/>
          <w:lang w:val="en-ZA"/>
        </w:rPr>
        <w:tab/>
      </w:r>
      <w:r w:rsidR="00E15A90">
        <w:rPr>
          <w:rFonts w:ascii="Times New Roman" w:hAnsi="Times New Roman" w:cs="Times New Roman"/>
          <w:b/>
          <w:bCs/>
          <w:sz w:val="28"/>
          <w:szCs w:val="28"/>
          <w:lang w:val="en-ZA"/>
        </w:rPr>
        <w:t>Factual Background</w:t>
      </w:r>
    </w:p>
    <w:p w14:paraId="47BF80C9" w14:textId="1CC87330" w:rsidR="00D5233A" w:rsidRDefault="00E15A90" w:rsidP="00154F0D">
      <w:pPr>
        <w:spacing w:after="0" w:line="360" w:lineRule="auto"/>
        <w:ind w:left="720"/>
        <w:jc w:val="both"/>
        <w:rPr>
          <w:rFonts w:ascii="Times New Roman" w:hAnsi="Times New Roman" w:cs="Times New Roman"/>
          <w:b/>
          <w:bCs/>
          <w:sz w:val="28"/>
          <w:szCs w:val="28"/>
          <w:lang w:val="en-ZA"/>
        </w:rPr>
      </w:pPr>
      <w:r>
        <w:rPr>
          <w:rFonts w:ascii="Times New Roman" w:hAnsi="Times New Roman" w:cs="Times New Roman"/>
          <w:sz w:val="28"/>
          <w:szCs w:val="28"/>
          <w:lang w:val="en-ZA"/>
        </w:rPr>
        <w:t>This applicat</w:t>
      </w:r>
      <w:r w:rsidR="00FD6E30">
        <w:rPr>
          <w:rFonts w:ascii="Times New Roman" w:hAnsi="Times New Roman" w:cs="Times New Roman"/>
          <w:sz w:val="28"/>
          <w:szCs w:val="28"/>
          <w:lang w:val="en-ZA"/>
        </w:rPr>
        <w:t>ion</w:t>
      </w:r>
      <w:r>
        <w:rPr>
          <w:rFonts w:ascii="Times New Roman" w:hAnsi="Times New Roman" w:cs="Times New Roman"/>
          <w:sz w:val="28"/>
          <w:szCs w:val="28"/>
          <w:lang w:val="en-ZA"/>
        </w:rPr>
        <w:t xml:space="preserve"> is opposed.  This application </w:t>
      </w:r>
      <w:r w:rsidR="00154F0D">
        <w:rPr>
          <w:rFonts w:ascii="Times New Roman" w:hAnsi="Times New Roman" w:cs="Times New Roman"/>
          <w:sz w:val="28"/>
          <w:szCs w:val="28"/>
          <w:lang w:val="en-ZA"/>
        </w:rPr>
        <w:t xml:space="preserve">represents the after-effects of the unrelenting and colossal legal dispute between Platcorp Holdings Limited and Platinum Credit Limited.  The dispute between the latter parties pertains to control and ownership of the latter entity.  The nature of the dispute can be gleaned from the judgments of this </w:t>
      </w:r>
      <w:r w:rsidR="00D5233A">
        <w:rPr>
          <w:rFonts w:ascii="Times New Roman" w:hAnsi="Times New Roman" w:cs="Times New Roman"/>
          <w:sz w:val="28"/>
          <w:szCs w:val="28"/>
          <w:lang w:val="en-ZA"/>
        </w:rPr>
        <w:t xml:space="preserve">court in </w:t>
      </w:r>
      <w:r w:rsidR="00D5233A">
        <w:rPr>
          <w:rFonts w:ascii="Times New Roman" w:hAnsi="Times New Roman" w:cs="Times New Roman"/>
          <w:b/>
          <w:bCs/>
          <w:sz w:val="28"/>
          <w:szCs w:val="28"/>
          <w:lang w:val="en-ZA"/>
        </w:rPr>
        <w:t>Platinum Credit Ltd v Platcorp Holdings Limited [2022] LSHC 199 Comm. (25 August 2022) and Platcorp Holdings Limited v Platinum Credit Limited and Others [2022] LSHC 298 Comm. (14 December 2022).</w:t>
      </w:r>
    </w:p>
    <w:p w14:paraId="12A33405" w14:textId="77777777" w:rsidR="00D5233A" w:rsidRDefault="00D5233A" w:rsidP="00D5233A">
      <w:pPr>
        <w:spacing w:after="0" w:line="360" w:lineRule="auto"/>
        <w:jc w:val="both"/>
        <w:rPr>
          <w:rFonts w:ascii="Times New Roman" w:hAnsi="Times New Roman" w:cs="Times New Roman"/>
          <w:b/>
          <w:bCs/>
          <w:sz w:val="28"/>
          <w:szCs w:val="28"/>
          <w:lang w:val="en-ZA"/>
        </w:rPr>
      </w:pPr>
    </w:p>
    <w:p w14:paraId="257CF893" w14:textId="69466087" w:rsidR="000D1DE7" w:rsidRPr="000D1DE7" w:rsidRDefault="00D5233A" w:rsidP="000D1DE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 xml:space="preserve">The </w:t>
      </w:r>
      <w:r w:rsidR="00BE412D">
        <w:rPr>
          <w:rFonts w:ascii="Times New Roman" w:hAnsi="Times New Roman" w:cs="Times New Roman"/>
          <w:sz w:val="28"/>
          <w:szCs w:val="28"/>
          <w:lang w:val="en-ZA"/>
        </w:rPr>
        <w:t>1</w:t>
      </w:r>
      <w:r w:rsidR="00BE412D" w:rsidRPr="00BE412D">
        <w:rPr>
          <w:rFonts w:ascii="Times New Roman" w:hAnsi="Times New Roman" w:cs="Times New Roman"/>
          <w:sz w:val="28"/>
          <w:szCs w:val="28"/>
          <w:vertAlign w:val="superscript"/>
          <w:lang w:val="en-ZA"/>
        </w:rPr>
        <w:t>st</w:t>
      </w:r>
      <w:r w:rsidR="00BE412D">
        <w:rPr>
          <w:rFonts w:ascii="Times New Roman" w:hAnsi="Times New Roman" w:cs="Times New Roman"/>
          <w:sz w:val="28"/>
          <w:szCs w:val="28"/>
          <w:lang w:val="en-ZA"/>
        </w:rPr>
        <w:t xml:space="preserve"> </w:t>
      </w:r>
      <w:r>
        <w:rPr>
          <w:rFonts w:ascii="Times New Roman" w:hAnsi="Times New Roman" w:cs="Times New Roman"/>
          <w:sz w:val="28"/>
          <w:szCs w:val="28"/>
          <w:lang w:val="en-ZA"/>
        </w:rPr>
        <w:t>applicant holds a bank account with the respondent at its Teyateyaneng Branch.  It is a personal account as opposed to a business account.  On the 5</w:t>
      </w:r>
      <w:r w:rsidRPr="00D5233A">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and </w:t>
      </w:r>
      <w:r w:rsidR="00BE412D">
        <w:rPr>
          <w:rFonts w:ascii="Times New Roman" w:hAnsi="Times New Roman" w:cs="Times New Roman"/>
          <w:sz w:val="28"/>
          <w:szCs w:val="28"/>
          <w:lang w:val="en-ZA"/>
        </w:rPr>
        <w:t>6</w:t>
      </w:r>
      <w:r w:rsidR="00BE412D" w:rsidRPr="00D5233A">
        <w:rPr>
          <w:rFonts w:ascii="Times New Roman" w:hAnsi="Times New Roman" w:cs="Times New Roman"/>
          <w:sz w:val="28"/>
          <w:szCs w:val="28"/>
          <w:vertAlign w:val="superscript"/>
          <w:lang w:val="en-ZA"/>
        </w:rPr>
        <w:t>th</w:t>
      </w:r>
      <w:r w:rsidR="00BE412D">
        <w:rPr>
          <w:rFonts w:ascii="Times New Roman" w:hAnsi="Times New Roman" w:cs="Times New Roman"/>
          <w:sz w:val="28"/>
          <w:szCs w:val="28"/>
          <w:lang w:val="en-ZA"/>
        </w:rPr>
        <w:t xml:space="preserve"> July 2022,</w:t>
      </w:r>
      <w:r>
        <w:rPr>
          <w:rFonts w:ascii="Times New Roman" w:hAnsi="Times New Roman" w:cs="Times New Roman"/>
          <w:sz w:val="28"/>
          <w:szCs w:val="28"/>
          <w:lang w:val="en-ZA"/>
        </w:rPr>
        <w:t xml:space="preserve"> the officers of the respondent notice</w:t>
      </w:r>
      <w:r w:rsidR="00BE412D">
        <w:rPr>
          <w:rFonts w:ascii="Times New Roman" w:hAnsi="Times New Roman" w:cs="Times New Roman"/>
          <w:sz w:val="28"/>
          <w:szCs w:val="28"/>
          <w:lang w:val="en-ZA"/>
        </w:rPr>
        <w:t>d</w:t>
      </w:r>
      <w:r>
        <w:rPr>
          <w:rFonts w:ascii="Times New Roman" w:hAnsi="Times New Roman" w:cs="Times New Roman"/>
          <w:sz w:val="28"/>
          <w:szCs w:val="28"/>
          <w:lang w:val="en-ZA"/>
        </w:rPr>
        <w:t xml:space="preserve"> </w:t>
      </w:r>
      <w:r w:rsidR="00BE412D">
        <w:rPr>
          <w:rFonts w:ascii="Times New Roman" w:hAnsi="Times New Roman" w:cs="Times New Roman"/>
          <w:sz w:val="28"/>
          <w:szCs w:val="28"/>
          <w:lang w:val="en-ZA"/>
        </w:rPr>
        <w:t xml:space="preserve">an </w:t>
      </w:r>
      <w:r>
        <w:rPr>
          <w:rFonts w:ascii="Times New Roman" w:hAnsi="Times New Roman" w:cs="Times New Roman"/>
          <w:sz w:val="28"/>
          <w:szCs w:val="28"/>
          <w:lang w:val="en-ZA"/>
        </w:rPr>
        <w:t>unusually large and multiple transfer of money being made from Platinum Credit Limited’s bank account to a number of individuals including the 1</w:t>
      </w:r>
      <w:r w:rsidRPr="00D5233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w:t>
      </w:r>
      <w:r w:rsidR="00BE412D">
        <w:rPr>
          <w:rFonts w:ascii="Times New Roman" w:hAnsi="Times New Roman" w:cs="Times New Roman"/>
          <w:sz w:val="28"/>
          <w:szCs w:val="28"/>
          <w:lang w:val="en-ZA"/>
        </w:rPr>
        <w:t>.</w:t>
      </w:r>
      <w:r w:rsidR="00FF733C">
        <w:rPr>
          <w:rFonts w:ascii="Times New Roman" w:hAnsi="Times New Roman" w:cs="Times New Roman"/>
          <w:sz w:val="28"/>
          <w:szCs w:val="28"/>
          <w:lang w:val="en-ZA"/>
        </w:rPr>
        <w:t xml:space="preserve"> </w:t>
      </w:r>
      <w:r w:rsidR="00BE412D">
        <w:rPr>
          <w:rFonts w:ascii="Times New Roman" w:hAnsi="Times New Roman" w:cs="Times New Roman"/>
          <w:sz w:val="28"/>
          <w:szCs w:val="28"/>
          <w:lang w:val="en-ZA"/>
        </w:rPr>
        <w:t>I</w:t>
      </w:r>
      <w:r w:rsidR="00FF733C">
        <w:rPr>
          <w:rFonts w:ascii="Times New Roman" w:hAnsi="Times New Roman" w:cs="Times New Roman"/>
          <w:sz w:val="28"/>
          <w:szCs w:val="28"/>
          <w:lang w:val="en-ZA"/>
        </w:rPr>
        <w:t>mmediately they were flagged as suspicious transactions.  The amount in respect of the 1</w:t>
      </w:r>
      <w:r w:rsidR="00FF733C" w:rsidRPr="00FF733C">
        <w:rPr>
          <w:rFonts w:ascii="Times New Roman" w:hAnsi="Times New Roman" w:cs="Times New Roman"/>
          <w:sz w:val="28"/>
          <w:szCs w:val="28"/>
          <w:vertAlign w:val="superscript"/>
          <w:lang w:val="en-ZA"/>
        </w:rPr>
        <w:t>st</w:t>
      </w:r>
      <w:r w:rsidR="00FF733C">
        <w:rPr>
          <w:rFonts w:ascii="Times New Roman" w:hAnsi="Times New Roman" w:cs="Times New Roman"/>
          <w:sz w:val="28"/>
          <w:szCs w:val="28"/>
          <w:lang w:val="en-ZA"/>
        </w:rPr>
        <w:t xml:space="preserve"> respondent was One Million, Nine Hundred Thousand Maloti (1,900,000)</w:t>
      </w:r>
      <w:r w:rsidR="00FA16B7">
        <w:rPr>
          <w:rFonts w:ascii="Times New Roman" w:hAnsi="Times New Roman" w:cs="Times New Roman"/>
          <w:sz w:val="28"/>
          <w:szCs w:val="28"/>
          <w:lang w:val="en-ZA"/>
        </w:rPr>
        <w:t>. It is common cause this amount</w:t>
      </w:r>
      <w:r w:rsidR="00FF733C">
        <w:rPr>
          <w:rFonts w:ascii="Times New Roman" w:hAnsi="Times New Roman" w:cs="Times New Roman"/>
          <w:sz w:val="28"/>
          <w:szCs w:val="28"/>
          <w:lang w:val="en-ZA"/>
        </w:rPr>
        <w:t xml:space="preserve"> </w:t>
      </w:r>
      <w:r w:rsidR="00FA16B7">
        <w:rPr>
          <w:rFonts w:ascii="Times New Roman" w:hAnsi="Times New Roman" w:cs="Times New Roman"/>
          <w:sz w:val="28"/>
          <w:szCs w:val="28"/>
          <w:lang w:val="en-ZA"/>
        </w:rPr>
        <w:t>is</w:t>
      </w:r>
      <w:r w:rsidR="00FF733C">
        <w:rPr>
          <w:rFonts w:ascii="Times New Roman" w:hAnsi="Times New Roman" w:cs="Times New Roman"/>
          <w:sz w:val="28"/>
          <w:szCs w:val="28"/>
          <w:lang w:val="en-ZA"/>
        </w:rPr>
        <w:t xml:space="preserve"> </w:t>
      </w:r>
      <w:r w:rsidR="00BE412D">
        <w:rPr>
          <w:rFonts w:ascii="Times New Roman" w:hAnsi="Times New Roman" w:cs="Times New Roman"/>
          <w:sz w:val="28"/>
          <w:szCs w:val="28"/>
          <w:lang w:val="en-ZA"/>
        </w:rPr>
        <w:t>in</w:t>
      </w:r>
      <w:r w:rsidR="00FF733C">
        <w:rPr>
          <w:rFonts w:ascii="Times New Roman" w:hAnsi="Times New Roman" w:cs="Times New Roman"/>
          <w:sz w:val="28"/>
          <w:szCs w:val="28"/>
          <w:lang w:val="en-ZA"/>
        </w:rPr>
        <w:t>consistent with the previous history of activities in the 1</w:t>
      </w:r>
      <w:r w:rsidR="00FF733C" w:rsidRPr="00FF733C">
        <w:rPr>
          <w:rFonts w:ascii="Times New Roman" w:hAnsi="Times New Roman" w:cs="Times New Roman"/>
          <w:sz w:val="28"/>
          <w:szCs w:val="28"/>
          <w:vertAlign w:val="superscript"/>
          <w:lang w:val="en-ZA"/>
        </w:rPr>
        <w:t>st</w:t>
      </w:r>
      <w:r w:rsidR="00FF733C">
        <w:rPr>
          <w:rFonts w:ascii="Times New Roman" w:hAnsi="Times New Roman" w:cs="Times New Roman"/>
          <w:sz w:val="28"/>
          <w:szCs w:val="28"/>
          <w:lang w:val="en-ZA"/>
        </w:rPr>
        <w:t xml:space="preserve"> applicant’s account.  The respondent triggered what it term</w:t>
      </w:r>
      <w:r w:rsidR="008727DB">
        <w:rPr>
          <w:rFonts w:ascii="Times New Roman" w:hAnsi="Times New Roman" w:cs="Times New Roman"/>
          <w:sz w:val="28"/>
          <w:szCs w:val="28"/>
          <w:lang w:val="en-ZA"/>
        </w:rPr>
        <w:t>ed</w:t>
      </w:r>
      <w:r w:rsidR="00FF733C">
        <w:rPr>
          <w:rFonts w:ascii="Times New Roman" w:hAnsi="Times New Roman" w:cs="Times New Roman"/>
          <w:sz w:val="28"/>
          <w:szCs w:val="28"/>
          <w:lang w:val="en-ZA"/>
        </w:rPr>
        <w:t xml:space="preserve"> a “provisional free</w:t>
      </w:r>
      <w:r w:rsidR="008727DB">
        <w:rPr>
          <w:rFonts w:ascii="Times New Roman" w:hAnsi="Times New Roman" w:cs="Times New Roman"/>
          <w:sz w:val="28"/>
          <w:szCs w:val="28"/>
          <w:lang w:val="en-ZA"/>
        </w:rPr>
        <w:t>ze</w:t>
      </w:r>
      <w:r w:rsidR="00FF733C">
        <w:rPr>
          <w:rFonts w:ascii="Times New Roman" w:hAnsi="Times New Roman" w:cs="Times New Roman"/>
          <w:sz w:val="28"/>
          <w:szCs w:val="28"/>
          <w:lang w:val="en-ZA"/>
        </w:rPr>
        <w:t>” on the account while it ascertained from the 1</w:t>
      </w:r>
      <w:r w:rsidR="00FF733C" w:rsidRPr="00FF733C">
        <w:rPr>
          <w:rFonts w:ascii="Times New Roman" w:hAnsi="Times New Roman" w:cs="Times New Roman"/>
          <w:sz w:val="28"/>
          <w:szCs w:val="28"/>
          <w:vertAlign w:val="superscript"/>
          <w:lang w:val="en-ZA"/>
        </w:rPr>
        <w:t>st</w:t>
      </w:r>
      <w:r w:rsidR="00FF733C">
        <w:rPr>
          <w:rFonts w:ascii="Times New Roman" w:hAnsi="Times New Roman" w:cs="Times New Roman"/>
          <w:sz w:val="28"/>
          <w:szCs w:val="28"/>
          <w:lang w:val="en-ZA"/>
        </w:rPr>
        <w:t xml:space="preserve"> applicant the source and legitimacy of the funds.  On 06 July 2022, after the 2</w:t>
      </w:r>
      <w:r w:rsidR="00FF733C" w:rsidRPr="00FF733C">
        <w:rPr>
          <w:rFonts w:ascii="Times New Roman" w:hAnsi="Times New Roman" w:cs="Times New Roman"/>
          <w:sz w:val="28"/>
          <w:szCs w:val="28"/>
          <w:vertAlign w:val="superscript"/>
          <w:lang w:val="en-ZA"/>
        </w:rPr>
        <w:t>nd</w:t>
      </w:r>
      <w:r w:rsidR="00FF733C">
        <w:rPr>
          <w:rFonts w:ascii="Times New Roman" w:hAnsi="Times New Roman" w:cs="Times New Roman"/>
          <w:sz w:val="28"/>
          <w:szCs w:val="28"/>
          <w:lang w:val="en-ZA"/>
        </w:rPr>
        <w:t xml:space="preserve"> </w:t>
      </w:r>
      <w:r w:rsidR="00A614DE">
        <w:rPr>
          <w:rFonts w:ascii="Times New Roman" w:hAnsi="Times New Roman" w:cs="Times New Roman"/>
          <w:sz w:val="28"/>
          <w:szCs w:val="28"/>
          <w:lang w:val="en-ZA"/>
        </w:rPr>
        <w:t>applicant</w:t>
      </w:r>
      <w:r w:rsidR="00FF733C">
        <w:rPr>
          <w:rFonts w:ascii="Times New Roman" w:hAnsi="Times New Roman" w:cs="Times New Roman"/>
          <w:sz w:val="28"/>
          <w:szCs w:val="28"/>
          <w:lang w:val="en-ZA"/>
        </w:rPr>
        <w:t xml:space="preserve"> had inquired why his mother’s account (1</w:t>
      </w:r>
      <w:r w:rsidR="00FF733C" w:rsidRPr="00FF733C">
        <w:rPr>
          <w:rFonts w:ascii="Times New Roman" w:hAnsi="Times New Roman" w:cs="Times New Roman"/>
          <w:sz w:val="28"/>
          <w:szCs w:val="28"/>
          <w:vertAlign w:val="superscript"/>
          <w:lang w:val="en-ZA"/>
        </w:rPr>
        <w:t>st</w:t>
      </w:r>
      <w:r w:rsidR="00FF733C">
        <w:rPr>
          <w:rFonts w:ascii="Times New Roman" w:hAnsi="Times New Roman" w:cs="Times New Roman"/>
          <w:sz w:val="28"/>
          <w:szCs w:val="28"/>
          <w:lang w:val="en-ZA"/>
        </w:rPr>
        <w:t xml:space="preserve"> applicant) had been frozen, he was requested to provide proof of source of the funds and the relevant supporting documents.</w:t>
      </w:r>
      <w:r w:rsidR="00A37808">
        <w:rPr>
          <w:rFonts w:ascii="Times New Roman" w:hAnsi="Times New Roman" w:cs="Times New Roman"/>
          <w:sz w:val="28"/>
          <w:szCs w:val="28"/>
          <w:lang w:val="en-ZA"/>
        </w:rPr>
        <w:tab/>
      </w:r>
      <w:r w:rsidR="000D1DE7" w:rsidRPr="000D1DE7">
        <w:rPr>
          <w:rFonts w:ascii="Times New Roman" w:hAnsi="Times New Roman" w:cs="Times New Roman"/>
          <w:sz w:val="28"/>
          <w:szCs w:val="28"/>
          <w:lang w:val="en-ZA"/>
        </w:rPr>
        <w:t>The 1</w:t>
      </w:r>
      <w:r w:rsidR="000D1DE7" w:rsidRPr="000D1DE7">
        <w:rPr>
          <w:rFonts w:ascii="Times New Roman" w:hAnsi="Times New Roman" w:cs="Times New Roman"/>
          <w:sz w:val="28"/>
          <w:szCs w:val="28"/>
          <w:vertAlign w:val="superscript"/>
          <w:lang w:val="en-ZA"/>
        </w:rPr>
        <w:t>st</w:t>
      </w:r>
      <w:r w:rsidR="000D1DE7" w:rsidRPr="000D1DE7">
        <w:rPr>
          <w:rFonts w:ascii="Times New Roman" w:hAnsi="Times New Roman" w:cs="Times New Roman"/>
          <w:sz w:val="28"/>
          <w:szCs w:val="28"/>
          <w:lang w:val="en-ZA"/>
        </w:rPr>
        <w:t xml:space="preserve"> and 2</w:t>
      </w:r>
      <w:r w:rsidR="000D1DE7" w:rsidRPr="000D1DE7">
        <w:rPr>
          <w:rFonts w:ascii="Times New Roman" w:hAnsi="Times New Roman" w:cs="Times New Roman"/>
          <w:sz w:val="28"/>
          <w:szCs w:val="28"/>
          <w:vertAlign w:val="superscript"/>
          <w:lang w:val="en-ZA"/>
        </w:rPr>
        <w:t>nd</w:t>
      </w:r>
      <w:r w:rsidR="000D1DE7" w:rsidRPr="000D1DE7">
        <w:rPr>
          <w:rFonts w:ascii="Times New Roman" w:hAnsi="Times New Roman" w:cs="Times New Roman"/>
          <w:sz w:val="28"/>
          <w:szCs w:val="28"/>
          <w:lang w:val="en-ZA"/>
        </w:rPr>
        <w:t xml:space="preserve"> applicants are both directors and shareholders</w:t>
      </w:r>
      <w:r w:rsidR="000D1DE7">
        <w:rPr>
          <w:rFonts w:ascii="Times New Roman" w:hAnsi="Times New Roman" w:cs="Times New Roman"/>
          <w:sz w:val="28"/>
          <w:szCs w:val="28"/>
          <w:lang w:val="en-ZA"/>
        </w:rPr>
        <w:t xml:space="preserve"> of the 3</w:t>
      </w:r>
      <w:r w:rsidR="000D1DE7" w:rsidRPr="000D1DE7">
        <w:rPr>
          <w:rFonts w:ascii="Times New Roman" w:hAnsi="Times New Roman" w:cs="Times New Roman"/>
          <w:sz w:val="28"/>
          <w:szCs w:val="28"/>
          <w:vertAlign w:val="superscript"/>
          <w:lang w:val="en-ZA"/>
        </w:rPr>
        <w:t>rd</w:t>
      </w:r>
      <w:r w:rsidR="000D1DE7">
        <w:rPr>
          <w:rFonts w:ascii="Times New Roman" w:hAnsi="Times New Roman" w:cs="Times New Roman"/>
          <w:sz w:val="28"/>
          <w:szCs w:val="28"/>
          <w:lang w:val="en-ZA"/>
        </w:rPr>
        <w:t xml:space="preserve"> applicant</w:t>
      </w:r>
      <w:r w:rsidR="000D1DE7" w:rsidRPr="000D1DE7">
        <w:rPr>
          <w:rFonts w:ascii="Times New Roman" w:hAnsi="Times New Roman" w:cs="Times New Roman"/>
          <w:sz w:val="28"/>
          <w:szCs w:val="28"/>
          <w:lang w:val="en-ZA"/>
        </w:rPr>
        <w:t>.</w:t>
      </w:r>
    </w:p>
    <w:p w14:paraId="4658E17D" w14:textId="77777777" w:rsidR="000D1DE7" w:rsidRPr="000D1DE7" w:rsidRDefault="000D1DE7" w:rsidP="000D1DE7">
      <w:pPr>
        <w:spacing w:after="0" w:line="360" w:lineRule="auto"/>
        <w:ind w:left="720" w:hanging="720"/>
        <w:jc w:val="both"/>
        <w:rPr>
          <w:rFonts w:ascii="Times New Roman" w:hAnsi="Times New Roman" w:cs="Times New Roman"/>
          <w:sz w:val="28"/>
          <w:szCs w:val="28"/>
          <w:lang w:val="en-ZA"/>
        </w:rPr>
      </w:pPr>
    </w:p>
    <w:p w14:paraId="11889FC4" w14:textId="1D3986B2" w:rsidR="00866F7D" w:rsidRDefault="006F27D6" w:rsidP="00D5233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i/>
          <w:iCs/>
          <w:sz w:val="24"/>
          <w:szCs w:val="24"/>
          <w:lang w:val="en-ZA"/>
        </w:rPr>
        <w:lastRenderedPageBreak/>
        <w:t xml:space="preserve"> </w:t>
      </w:r>
      <w:r>
        <w:rPr>
          <w:rFonts w:ascii="Times New Roman" w:hAnsi="Times New Roman" w:cs="Times New Roman"/>
          <w:sz w:val="28"/>
          <w:szCs w:val="28"/>
          <w:lang w:val="en-ZA"/>
        </w:rPr>
        <w:t xml:space="preserve"> </w:t>
      </w:r>
      <w:r w:rsidR="006C7A6B">
        <w:rPr>
          <w:rFonts w:ascii="Times New Roman" w:hAnsi="Times New Roman" w:cs="Times New Roman"/>
          <w:sz w:val="28"/>
          <w:szCs w:val="28"/>
          <w:lang w:val="en-ZA"/>
        </w:rPr>
        <w:t xml:space="preserve"> </w:t>
      </w:r>
      <w:r w:rsidR="00866F7D">
        <w:rPr>
          <w:rFonts w:ascii="Times New Roman" w:hAnsi="Times New Roman" w:cs="Times New Roman"/>
          <w:sz w:val="28"/>
          <w:szCs w:val="28"/>
          <w:lang w:val="en-ZA"/>
        </w:rPr>
        <w:t>[4]</w:t>
      </w:r>
      <w:r w:rsidR="00866F7D">
        <w:rPr>
          <w:rFonts w:ascii="Times New Roman" w:hAnsi="Times New Roman" w:cs="Times New Roman"/>
          <w:sz w:val="28"/>
          <w:szCs w:val="28"/>
          <w:lang w:val="en-ZA"/>
        </w:rPr>
        <w:tab/>
        <w:t xml:space="preserve">The </w:t>
      </w:r>
      <w:r w:rsidR="00FA4715">
        <w:rPr>
          <w:rFonts w:ascii="Times New Roman" w:hAnsi="Times New Roman" w:cs="Times New Roman"/>
          <w:sz w:val="28"/>
          <w:szCs w:val="28"/>
          <w:lang w:val="en-ZA"/>
        </w:rPr>
        <w:t>applicants</w:t>
      </w:r>
      <w:r w:rsidR="00866F7D">
        <w:rPr>
          <w:rFonts w:ascii="Times New Roman" w:hAnsi="Times New Roman" w:cs="Times New Roman"/>
          <w:sz w:val="28"/>
          <w:szCs w:val="28"/>
          <w:lang w:val="en-ZA"/>
        </w:rPr>
        <w:t xml:space="preserve"> produced a document </w:t>
      </w:r>
      <w:r w:rsidR="00FA4715">
        <w:rPr>
          <w:rFonts w:ascii="Times New Roman" w:hAnsi="Times New Roman" w:cs="Times New Roman"/>
          <w:sz w:val="28"/>
          <w:szCs w:val="28"/>
          <w:lang w:val="en-ZA"/>
        </w:rPr>
        <w:t xml:space="preserve">which was marked </w:t>
      </w:r>
      <w:r w:rsidR="00866F7D">
        <w:rPr>
          <w:rFonts w:ascii="Times New Roman" w:hAnsi="Times New Roman" w:cs="Times New Roman"/>
          <w:sz w:val="28"/>
          <w:szCs w:val="28"/>
          <w:lang w:val="en-ZA"/>
        </w:rPr>
        <w:t>Annexure “C”</w:t>
      </w:r>
      <w:r w:rsidR="00FA4715">
        <w:rPr>
          <w:rFonts w:ascii="Times New Roman" w:hAnsi="Times New Roman" w:cs="Times New Roman"/>
          <w:sz w:val="28"/>
          <w:szCs w:val="28"/>
          <w:lang w:val="en-ZA"/>
        </w:rPr>
        <w:t>. This document</w:t>
      </w:r>
      <w:r w:rsidR="00866F7D">
        <w:rPr>
          <w:rFonts w:ascii="Times New Roman" w:hAnsi="Times New Roman" w:cs="Times New Roman"/>
          <w:sz w:val="28"/>
          <w:szCs w:val="28"/>
          <w:lang w:val="en-ZA"/>
        </w:rPr>
        <w:t xml:space="preserve"> is the Invoice directed at</w:t>
      </w:r>
      <w:r w:rsidR="00E30BB8">
        <w:rPr>
          <w:rFonts w:ascii="Times New Roman" w:hAnsi="Times New Roman" w:cs="Times New Roman"/>
          <w:sz w:val="28"/>
          <w:szCs w:val="28"/>
          <w:lang w:val="en-ZA"/>
        </w:rPr>
        <w:t xml:space="preserve"> Platinum Credit Limited by</w:t>
      </w:r>
      <w:r w:rsidR="00866F7D">
        <w:rPr>
          <w:rFonts w:ascii="Times New Roman" w:hAnsi="Times New Roman" w:cs="Times New Roman"/>
          <w:sz w:val="28"/>
          <w:szCs w:val="28"/>
          <w:lang w:val="en-ZA"/>
        </w:rPr>
        <w:t xml:space="preserve"> </w:t>
      </w:r>
      <w:r w:rsidR="00E30BB8">
        <w:rPr>
          <w:rFonts w:ascii="Times New Roman" w:hAnsi="Times New Roman" w:cs="Times New Roman"/>
          <w:sz w:val="28"/>
          <w:szCs w:val="28"/>
          <w:lang w:val="en-ZA"/>
        </w:rPr>
        <w:t xml:space="preserve">the </w:t>
      </w:r>
      <w:r w:rsidR="00FA4715">
        <w:rPr>
          <w:rFonts w:ascii="Times New Roman" w:hAnsi="Times New Roman" w:cs="Times New Roman"/>
          <w:sz w:val="28"/>
          <w:szCs w:val="28"/>
          <w:lang w:val="en-ZA"/>
        </w:rPr>
        <w:t>3</w:t>
      </w:r>
      <w:r w:rsidR="00FA4715" w:rsidRPr="00FA4715">
        <w:rPr>
          <w:rFonts w:ascii="Times New Roman" w:hAnsi="Times New Roman" w:cs="Times New Roman"/>
          <w:sz w:val="28"/>
          <w:szCs w:val="28"/>
          <w:vertAlign w:val="superscript"/>
          <w:lang w:val="en-ZA"/>
        </w:rPr>
        <w:t>rd</w:t>
      </w:r>
      <w:r w:rsidR="00FA4715">
        <w:rPr>
          <w:rFonts w:ascii="Times New Roman" w:hAnsi="Times New Roman" w:cs="Times New Roman"/>
          <w:sz w:val="28"/>
          <w:szCs w:val="28"/>
          <w:lang w:val="en-ZA"/>
        </w:rPr>
        <w:t xml:space="preserve"> applicant</w:t>
      </w:r>
      <w:r w:rsidR="00866F7D">
        <w:rPr>
          <w:rFonts w:ascii="Times New Roman" w:hAnsi="Times New Roman" w:cs="Times New Roman"/>
          <w:sz w:val="28"/>
          <w:szCs w:val="28"/>
          <w:lang w:val="en-ZA"/>
        </w:rPr>
        <w:t>,</w:t>
      </w:r>
      <w:r w:rsidR="00FA4715">
        <w:rPr>
          <w:rFonts w:ascii="Times New Roman" w:hAnsi="Times New Roman" w:cs="Times New Roman"/>
          <w:sz w:val="28"/>
          <w:szCs w:val="28"/>
          <w:lang w:val="en-ZA"/>
        </w:rPr>
        <w:t xml:space="preserve"> for having rendered</w:t>
      </w:r>
      <w:r w:rsidR="00866F7D">
        <w:rPr>
          <w:rFonts w:ascii="Times New Roman" w:hAnsi="Times New Roman" w:cs="Times New Roman"/>
          <w:sz w:val="28"/>
          <w:szCs w:val="28"/>
          <w:lang w:val="en-ZA"/>
        </w:rPr>
        <w:t xml:space="preserve"> business advisory, consultancy and Strategy Planning </w:t>
      </w:r>
      <w:r w:rsidR="00790E4A">
        <w:rPr>
          <w:rFonts w:ascii="Times New Roman" w:hAnsi="Times New Roman" w:cs="Times New Roman"/>
          <w:sz w:val="28"/>
          <w:szCs w:val="28"/>
          <w:lang w:val="en-ZA"/>
        </w:rPr>
        <w:t>services t</w:t>
      </w:r>
      <w:r w:rsidR="00904AF7">
        <w:rPr>
          <w:rFonts w:ascii="Times New Roman" w:hAnsi="Times New Roman" w:cs="Times New Roman"/>
          <w:sz w:val="28"/>
          <w:szCs w:val="28"/>
          <w:lang w:val="en-ZA"/>
        </w:rPr>
        <w:t>o</w:t>
      </w:r>
      <w:r w:rsidR="00866F7D">
        <w:rPr>
          <w:rFonts w:ascii="Times New Roman" w:hAnsi="Times New Roman" w:cs="Times New Roman"/>
          <w:sz w:val="28"/>
          <w:szCs w:val="28"/>
          <w:lang w:val="en-ZA"/>
        </w:rPr>
        <w:t xml:space="preserve"> Platinum Credit</w:t>
      </w:r>
      <w:r w:rsidR="00E30BB8">
        <w:rPr>
          <w:rFonts w:ascii="Times New Roman" w:hAnsi="Times New Roman" w:cs="Times New Roman"/>
          <w:sz w:val="28"/>
          <w:szCs w:val="28"/>
          <w:lang w:val="en-ZA"/>
        </w:rPr>
        <w:t xml:space="preserve"> Limited</w:t>
      </w:r>
      <w:r w:rsidR="00866F7D">
        <w:rPr>
          <w:rFonts w:ascii="Times New Roman" w:hAnsi="Times New Roman" w:cs="Times New Roman"/>
          <w:sz w:val="28"/>
          <w:szCs w:val="28"/>
          <w:lang w:val="en-ZA"/>
        </w:rPr>
        <w:t>.  The value of the invoice was Two Million Maloti (M2,000,000.00).  As the invoice did not refer to the 1</w:t>
      </w:r>
      <w:r w:rsidR="00866F7D" w:rsidRPr="00866F7D">
        <w:rPr>
          <w:rFonts w:ascii="Times New Roman" w:hAnsi="Times New Roman" w:cs="Times New Roman"/>
          <w:sz w:val="28"/>
          <w:szCs w:val="28"/>
          <w:vertAlign w:val="superscript"/>
          <w:lang w:val="en-ZA"/>
        </w:rPr>
        <w:t>st</w:t>
      </w:r>
      <w:r w:rsidR="00866F7D">
        <w:rPr>
          <w:rFonts w:ascii="Times New Roman" w:hAnsi="Times New Roman" w:cs="Times New Roman"/>
          <w:sz w:val="28"/>
          <w:szCs w:val="28"/>
          <w:lang w:val="en-ZA"/>
        </w:rPr>
        <w:t xml:space="preserve"> applicant the respondent was still not satisfied.  The 2</w:t>
      </w:r>
      <w:r w:rsidR="00866F7D" w:rsidRPr="00866F7D">
        <w:rPr>
          <w:rFonts w:ascii="Times New Roman" w:hAnsi="Times New Roman" w:cs="Times New Roman"/>
          <w:sz w:val="28"/>
          <w:szCs w:val="28"/>
          <w:vertAlign w:val="superscript"/>
          <w:lang w:val="en-ZA"/>
        </w:rPr>
        <w:t>nd</w:t>
      </w:r>
      <w:r w:rsidR="00866F7D">
        <w:rPr>
          <w:rFonts w:ascii="Times New Roman" w:hAnsi="Times New Roman" w:cs="Times New Roman"/>
          <w:sz w:val="28"/>
          <w:szCs w:val="28"/>
          <w:lang w:val="en-ZA"/>
        </w:rPr>
        <w:t xml:space="preserve"> applicant went back to the offices of Platinum Credit Limited and b</w:t>
      </w:r>
      <w:r w:rsidR="00B76038">
        <w:rPr>
          <w:rFonts w:ascii="Times New Roman" w:hAnsi="Times New Roman" w:cs="Times New Roman"/>
          <w:sz w:val="28"/>
          <w:szCs w:val="28"/>
          <w:lang w:val="en-ZA"/>
        </w:rPr>
        <w:t>r</w:t>
      </w:r>
      <w:r w:rsidR="00866F7D">
        <w:rPr>
          <w:rFonts w:ascii="Times New Roman" w:hAnsi="Times New Roman" w:cs="Times New Roman"/>
          <w:sz w:val="28"/>
          <w:szCs w:val="28"/>
          <w:lang w:val="en-ZA"/>
        </w:rPr>
        <w:t xml:space="preserve">ought a letter in terms of which the Managing Director of the latter company notified the respondent that Notable Tech had provided Platinum Credit Limited with business consultancy and advisory services, and that the invoice was for </w:t>
      </w:r>
      <w:r w:rsidR="00B76038">
        <w:rPr>
          <w:rFonts w:ascii="Times New Roman" w:hAnsi="Times New Roman" w:cs="Times New Roman"/>
          <w:sz w:val="28"/>
          <w:szCs w:val="28"/>
          <w:lang w:val="en-ZA"/>
        </w:rPr>
        <w:t>such</w:t>
      </w:r>
      <w:r w:rsidR="00866F7D">
        <w:rPr>
          <w:rFonts w:ascii="Times New Roman" w:hAnsi="Times New Roman" w:cs="Times New Roman"/>
          <w:sz w:val="28"/>
          <w:szCs w:val="28"/>
          <w:lang w:val="en-ZA"/>
        </w:rPr>
        <w:t xml:space="preserve"> service, excluding tax.  </w:t>
      </w:r>
    </w:p>
    <w:p w14:paraId="47886F0A" w14:textId="5818BC0E" w:rsidR="00866F7D" w:rsidRDefault="00866F7D" w:rsidP="00866F7D">
      <w:pPr>
        <w:spacing w:after="0" w:line="360" w:lineRule="auto"/>
        <w:jc w:val="both"/>
        <w:rPr>
          <w:rFonts w:ascii="Times New Roman" w:hAnsi="Times New Roman" w:cs="Times New Roman"/>
          <w:sz w:val="28"/>
          <w:szCs w:val="28"/>
          <w:lang w:val="en-ZA"/>
        </w:rPr>
      </w:pPr>
    </w:p>
    <w:p w14:paraId="15DBD4AA" w14:textId="1285DFA8" w:rsidR="00B62F36" w:rsidRDefault="00866F7D" w:rsidP="00866F7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The Managing Director</w:t>
      </w:r>
      <w:r w:rsidR="004464FA">
        <w:rPr>
          <w:rFonts w:ascii="Times New Roman" w:hAnsi="Times New Roman" w:cs="Times New Roman"/>
          <w:sz w:val="28"/>
          <w:szCs w:val="28"/>
          <w:lang w:val="en-ZA"/>
        </w:rPr>
        <w:t xml:space="preserve"> of Platinum Credit Limited</w:t>
      </w:r>
      <w:r>
        <w:rPr>
          <w:rFonts w:ascii="Times New Roman" w:hAnsi="Times New Roman" w:cs="Times New Roman"/>
          <w:sz w:val="28"/>
          <w:szCs w:val="28"/>
          <w:lang w:val="en-ZA"/>
        </w:rPr>
        <w:t xml:space="preserve"> notified the respondent that they had tried to pay the money into the </w:t>
      </w:r>
      <w:r w:rsidR="004464FA">
        <w:rPr>
          <w:rFonts w:ascii="Times New Roman" w:hAnsi="Times New Roman" w:cs="Times New Roman"/>
          <w:sz w:val="28"/>
          <w:szCs w:val="28"/>
          <w:lang w:val="en-ZA"/>
        </w:rPr>
        <w:t>3</w:t>
      </w:r>
      <w:r w:rsidR="004464FA" w:rsidRPr="004464FA">
        <w:rPr>
          <w:rFonts w:ascii="Times New Roman" w:hAnsi="Times New Roman" w:cs="Times New Roman"/>
          <w:sz w:val="28"/>
          <w:szCs w:val="28"/>
          <w:vertAlign w:val="superscript"/>
          <w:lang w:val="en-ZA"/>
        </w:rPr>
        <w:t>rd</w:t>
      </w:r>
      <w:r w:rsidR="004464FA">
        <w:rPr>
          <w:rFonts w:ascii="Times New Roman" w:hAnsi="Times New Roman" w:cs="Times New Roman"/>
          <w:sz w:val="28"/>
          <w:szCs w:val="28"/>
          <w:lang w:val="en-ZA"/>
        </w:rPr>
        <w:t xml:space="preserve"> </w:t>
      </w:r>
      <w:r w:rsidR="00CF0D74">
        <w:rPr>
          <w:rFonts w:ascii="Times New Roman" w:hAnsi="Times New Roman" w:cs="Times New Roman"/>
          <w:sz w:val="28"/>
          <w:szCs w:val="28"/>
          <w:lang w:val="en-ZA"/>
        </w:rPr>
        <w:t>applicant’s business</w:t>
      </w:r>
      <w:r>
        <w:rPr>
          <w:rFonts w:ascii="Times New Roman" w:hAnsi="Times New Roman" w:cs="Times New Roman"/>
          <w:sz w:val="28"/>
          <w:szCs w:val="28"/>
          <w:lang w:val="en-ZA"/>
        </w:rPr>
        <w:t xml:space="preserve"> account, and when the money could not go through, they requested on alternative bank account into which payment could be made.  The 2</w:t>
      </w:r>
      <w:r w:rsidRPr="00866F7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applicant provided the personal account of his mother (1</w:t>
      </w:r>
      <w:r w:rsidRPr="00866F7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 </w:t>
      </w:r>
      <w:r w:rsidR="00830DD4">
        <w:rPr>
          <w:rFonts w:ascii="Times New Roman" w:hAnsi="Times New Roman" w:cs="Times New Roman"/>
          <w:sz w:val="28"/>
          <w:szCs w:val="28"/>
          <w:lang w:val="en-ZA"/>
        </w:rPr>
        <w:t>into</w:t>
      </w:r>
      <w:r>
        <w:rPr>
          <w:rFonts w:ascii="Times New Roman" w:hAnsi="Times New Roman" w:cs="Times New Roman"/>
          <w:sz w:val="28"/>
          <w:szCs w:val="28"/>
          <w:lang w:val="en-ZA"/>
        </w:rPr>
        <w:t xml:space="preserve"> which the money was deposited. When this exchange could not yield</w:t>
      </w:r>
      <w:r w:rsidR="00830DD4">
        <w:rPr>
          <w:rFonts w:ascii="Times New Roman" w:hAnsi="Times New Roman" w:cs="Times New Roman"/>
          <w:sz w:val="28"/>
          <w:szCs w:val="28"/>
          <w:lang w:val="en-ZA"/>
        </w:rPr>
        <w:t xml:space="preserve"> the results in terms of satisfying the respondent about the source of the funds, </w:t>
      </w:r>
      <w:r w:rsidR="000D1DE7">
        <w:rPr>
          <w:rFonts w:ascii="Times New Roman" w:hAnsi="Times New Roman" w:cs="Times New Roman"/>
          <w:sz w:val="28"/>
          <w:szCs w:val="28"/>
          <w:lang w:val="en-ZA"/>
        </w:rPr>
        <w:t xml:space="preserve">the latter </w:t>
      </w:r>
      <w:r w:rsidR="00830DD4">
        <w:rPr>
          <w:rFonts w:ascii="Times New Roman" w:hAnsi="Times New Roman" w:cs="Times New Roman"/>
          <w:sz w:val="28"/>
          <w:szCs w:val="28"/>
          <w:lang w:val="en-ZA"/>
        </w:rPr>
        <w:t>decided to freeze the 1</w:t>
      </w:r>
      <w:r w:rsidR="00830DD4" w:rsidRPr="00830DD4">
        <w:rPr>
          <w:rFonts w:ascii="Times New Roman" w:hAnsi="Times New Roman" w:cs="Times New Roman"/>
          <w:sz w:val="28"/>
          <w:szCs w:val="28"/>
          <w:vertAlign w:val="superscript"/>
          <w:lang w:val="en-ZA"/>
        </w:rPr>
        <w:t>st</w:t>
      </w:r>
      <w:r w:rsidR="00830DD4">
        <w:rPr>
          <w:rFonts w:ascii="Times New Roman" w:hAnsi="Times New Roman" w:cs="Times New Roman"/>
          <w:sz w:val="28"/>
          <w:szCs w:val="28"/>
          <w:lang w:val="en-ZA"/>
        </w:rPr>
        <w:t xml:space="preserve"> </w:t>
      </w:r>
      <w:r w:rsidR="000D1DE7">
        <w:rPr>
          <w:rFonts w:ascii="Times New Roman" w:hAnsi="Times New Roman" w:cs="Times New Roman"/>
          <w:sz w:val="28"/>
          <w:szCs w:val="28"/>
          <w:lang w:val="en-ZA"/>
        </w:rPr>
        <w:t>applicant’s</w:t>
      </w:r>
      <w:r w:rsidR="00830DD4">
        <w:rPr>
          <w:rFonts w:ascii="Times New Roman" w:hAnsi="Times New Roman" w:cs="Times New Roman"/>
          <w:sz w:val="28"/>
          <w:szCs w:val="28"/>
          <w:lang w:val="en-ZA"/>
        </w:rPr>
        <w:t xml:space="preserve"> account as already said</w:t>
      </w:r>
      <w:r w:rsidR="000D1DE7">
        <w:rPr>
          <w:rFonts w:ascii="Times New Roman" w:hAnsi="Times New Roman" w:cs="Times New Roman"/>
          <w:sz w:val="28"/>
          <w:szCs w:val="28"/>
          <w:lang w:val="en-ZA"/>
        </w:rPr>
        <w:t>.</w:t>
      </w:r>
      <w:r w:rsidR="00830DD4">
        <w:rPr>
          <w:rFonts w:ascii="Times New Roman" w:hAnsi="Times New Roman" w:cs="Times New Roman"/>
          <w:sz w:val="28"/>
          <w:szCs w:val="28"/>
          <w:lang w:val="en-ZA"/>
        </w:rPr>
        <w:t xml:space="preserve"> </w:t>
      </w:r>
      <w:r w:rsidR="000D1DE7">
        <w:rPr>
          <w:rFonts w:ascii="Times New Roman" w:hAnsi="Times New Roman" w:cs="Times New Roman"/>
          <w:sz w:val="28"/>
          <w:szCs w:val="28"/>
          <w:lang w:val="en-ZA"/>
        </w:rPr>
        <w:t>W</w:t>
      </w:r>
      <w:r w:rsidR="00830DD4">
        <w:rPr>
          <w:rFonts w:ascii="Times New Roman" w:hAnsi="Times New Roman" w:cs="Times New Roman"/>
          <w:sz w:val="28"/>
          <w:szCs w:val="28"/>
          <w:lang w:val="en-ZA"/>
        </w:rPr>
        <w:t>hen the respondent could not be persuaded to unfreeze the account,</w:t>
      </w:r>
      <w:r w:rsidR="00B62F36">
        <w:rPr>
          <w:rFonts w:ascii="Times New Roman" w:hAnsi="Times New Roman" w:cs="Times New Roman"/>
          <w:sz w:val="28"/>
          <w:szCs w:val="28"/>
          <w:lang w:val="en-ZA"/>
        </w:rPr>
        <w:t xml:space="preserve"> the applicants lodge</w:t>
      </w:r>
      <w:r w:rsidR="000D1DE7">
        <w:rPr>
          <w:rFonts w:ascii="Times New Roman" w:hAnsi="Times New Roman" w:cs="Times New Roman"/>
          <w:sz w:val="28"/>
          <w:szCs w:val="28"/>
          <w:lang w:val="en-ZA"/>
        </w:rPr>
        <w:t>d</w:t>
      </w:r>
      <w:r w:rsidR="00B62F36">
        <w:rPr>
          <w:rFonts w:ascii="Times New Roman" w:hAnsi="Times New Roman" w:cs="Times New Roman"/>
          <w:sz w:val="28"/>
          <w:szCs w:val="28"/>
          <w:lang w:val="en-ZA"/>
        </w:rPr>
        <w:t xml:space="preserve"> this application seeking the reliefs outlined in introductory paragraph of this judgment.  </w:t>
      </w:r>
    </w:p>
    <w:p w14:paraId="59E47842" w14:textId="77777777" w:rsidR="00CF0D74" w:rsidRDefault="00CF0D74" w:rsidP="00866F7D">
      <w:pPr>
        <w:spacing w:after="0" w:line="360" w:lineRule="auto"/>
        <w:ind w:left="720" w:hanging="720"/>
        <w:jc w:val="both"/>
        <w:rPr>
          <w:rFonts w:ascii="Times New Roman" w:hAnsi="Times New Roman" w:cs="Times New Roman"/>
          <w:sz w:val="28"/>
          <w:szCs w:val="28"/>
          <w:lang w:val="en-ZA"/>
        </w:rPr>
      </w:pPr>
    </w:p>
    <w:p w14:paraId="42E8062B" w14:textId="53CAF0FF" w:rsidR="00B62F36" w:rsidRDefault="00B62F36" w:rsidP="00866F7D">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125532">
        <w:rPr>
          <w:rFonts w:ascii="Times New Roman" w:hAnsi="Times New Roman" w:cs="Times New Roman"/>
          <w:b/>
          <w:bCs/>
          <w:sz w:val="28"/>
          <w:szCs w:val="28"/>
          <w:lang w:val="en-ZA"/>
        </w:rPr>
        <w:t>Respective Parties Cases</w:t>
      </w:r>
    </w:p>
    <w:p w14:paraId="2B8C53CF" w14:textId="6E9D044A" w:rsidR="00125532" w:rsidRDefault="00125532" w:rsidP="000151A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sidR="0011108C">
        <w:rPr>
          <w:rFonts w:ascii="Times New Roman" w:hAnsi="Times New Roman" w:cs="Times New Roman"/>
          <w:sz w:val="28"/>
          <w:szCs w:val="28"/>
          <w:lang w:val="en-ZA"/>
        </w:rPr>
        <w:t xml:space="preserve">The respondent had raised a point in </w:t>
      </w:r>
      <w:r w:rsidR="0011108C" w:rsidRPr="0011108C">
        <w:rPr>
          <w:rFonts w:ascii="Times New Roman" w:hAnsi="Times New Roman" w:cs="Times New Roman"/>
          <w:i/>
          <w:iCs/>
          <w:sz w:val="28"/>
          <w:szCs w:val="28"/>
          <w:lang w:val="en-ZA"/>
        </w:rPr>
        <w:t>limine</w:t>
      </w:r>
      <w:r w:rsidR="0011108C">
        <w:rPr>
          <w:rFonts w:ascii="Times New Roman" w:hAnsi="Times New Roman" w:cs="Times New Roman"/>
          <w:sz w:val="28"/>
          <w:szCs w:val="28"/>
          <w:lang w:val="en-ZA"/>
        </w:rPr>
        <w:t xml:space="preserve"> that the</w:t>
      </w:r>
      <w:r>
        <w:rPr>
          <w:rFonts w:ascii="Times New Roman" w:hAnsi="Times New Roman" w:cs="Times New Roman"/>
          <w:sz w:val="28"/>
          <w:szCs w:val="28"/>
          <w:lang w:val="en-ZA"/>
        </w:rPr>
        <w:t xml:space="preserve"> 2</w:t>
      </w:r>
      <w:r w:rsidRPr="00125532">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and 3</w:t>
      </w:r>
      <w:r w:rsidRPr="00125532">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applicant do not have </w:t>
      </w:r>
      <w:r>
        <w:rPr>
          <w:rFonts w:ascii="Times New Roman" w:hAnsi="Times New Roman" w:cs="Times New Roman"/>
          <w:i/>
          <w:iCs/>
          <w:sz w:val="28"/>
          <w:szCs w:val="28"/>
          <w:lang w:val="en-ZA"/>
        </w:rPr>
        <w:t>locus standi</w:t>
      </w:r>
      <w:r w:rsidR="000151AF">
        <w:rPr>
          <w:rFonts w:ascii="Times New Roman" w:hAnsi="Times New Roman" w:cs="Times New Roman"/>
          <w:sz w:val="28"/>
          <w:szCs w:val="28"/>
          <w:lang w:val="en-ZA"/>
        </w:rPr>
        <w:t xml:space="preserve"> </w:t>
      </w:r>
      <w:r w:rsidR="000151AF" w:rsidRPr="000151AF">
        <w:rPr>
          <w:rFonts w:ascii="Times New Roman" w:hAnsi="Times New Roman" w:cs="Times New Roman"/>
          <w:sz w:val="28"/>
          <w:szCs w:val="28"/>
          <w:lang w:val="en-ZA"/>
        </w:rPr>
        <w:t xml:space="preserve">regarding the </w:t>
      </w:r>
      <w:r w:rsidR="000151AF" w:rsidRPr="000151AF">
        <w:rPr>
          <w:rFonts w:ascii="Times New Roman" w:hAnsi="Times New Roman" w:cs="Times New Roman"/>
          <w:i/>
          <w:iCs/>
          <w:sz w:val="28"/>
          <w:szCs w:val="28"/>
          <w:lang w:val="en-ZA"/>
        </w:rPr>
        <w:t>locus standi</w:t>
      </w:r>
      <w:r w:rsidR="000151AF" w:rsidRPr="000151AF">
        <w:rPr>
          <w:rFonts w:ascii="Times New Roman" w:hAnsi="Times New Roman" w:cs="Times New Roman"/>
          <w:sz w:val="28"/>
          <w:szCs w:val="28"/>
          <w:lang w:val="en-ZA"/>
        </w:rPr>
        <w:t xml:space="preserve"> as the bank account in </w:t>
      </w:r>
      <w:r w:rsidR="000151AF" w:rsidRPr="000151AF">
        <w:rPr>
          <w:rFonts w:ascii="Times New Roman" w:hAnsi="Times New Roman" w:cs="Times New Roman"/>
          <w:sz w:val="28"/>
          <w:szCs w:val="28"/>
          <w:lang w:val="en-ZA"/>
        </w:rPr>
        <w:lastRenderedPageBreak/>
        <w:t>question belongs to the 1</w:t>
      </w:r>
      <w:r w:rsidR="000151AF" w:rsidRPr="000151AF">
        <w:rPr>
          <w:rFonts w:ascii="Times New Roman" w:hAnsi="Times New Roman" w:cs="Times New Roman"/>
          <w:sz w:val="28"/>
          <w:szCs w:val="28"/>
          <w:vertAlign w:val="superscript"/>
          <w:lang w:val="en-ZA"/>
        </w:rPr>
        <w:t>st</w:t>
      </w:r>
      <w:r w:rsidR="000151AF" w:rsidRPr="000151AF">
        <w:rPr>
          <w:rFonts w:ascii="Times New Roman" w:hAnsi="Times New Roman" w:cs="Times New Roman"/>
          <w:sz w:val="28"/>
          <w:szCs w:val="28"/>
          <w:lang w:val="en-ZA"/>
        </w:rPr>
        <w:t xml:space="preserve"> applicant.</w:t>
      </w:r>
      <w:r w:rsidR="0011108C">
        <w:rPr>
          <w:rFonts w:ascii="Times New Roman" w:hAnsi="Times New Roman" w:cs="Times New Roman"/>
          <w:sz w:val="28"/>
          <w:szCs w:val="28"/>
          <w:lang w:val="en-ZA"/>
        </w:rPr>
        <w:t xml:space="preserve"> To this point</w:t>
      </w:r>
      <w:r>
        <w:rPr>
          <w:rFonts w:ascii="Times New Roman" w:hAnsi="Times New Roman" w:cs="Times New Roman"/>
          <w:sz w:val="28"/>
          <w:szCs w:val="28"/>
          <w:lang w:val="en-ZA"/>
        </w:rPr>
        <w:t xml:space="preserve"> the applicant argue</w:t>
      </w:r>
      <w:r w:rsidR="0011108C">
        <w:rPr>
          <w:rFonts w:ascii="Times New Roman" w:hAnsi="Times New Roman" w:cs="Times New Roman"/>
          <w:sz w:val="28"/>
          <w:szCs w:val="28"/>
          <w:lang w:val="en-ZA"/>
        </w:rPr>
        <w:t>d</w:t>
      </w:r>
      <w:r>
        <w:rPr>
          <w:rFonts w:ascii="Times New Roman" w:hAnsi="Times New Roman" w:cs="Times New Roman"/>
          <w:sz w:val="28"/>
          <w:szCs w:val="28"/>
          <w:lang w:val="en-ZA"/>
        </w:rPr>
        <w:t xml:space="preserve"> that </w:t>
      </w:r>
      <w:r w:rsidR="0011108C">
        <w:rPr>
          <w:rFonts w:ascii="Times New Roman" w:hAnsi="Times New Roman" w:cs="Times New Roman"/>
          <w:sz w:val="28"/>
          <w:szCs w:val="28"/>
          <w:lang w:val="en-ZA"/>
        </w:rPr>
        <w:t xml:space="preserve">the </w:t>
      </w:r>
      <w:r>
        <w:rPr>
          <w:rFonts w:ascii="Times New Roman" w:hAnsi="Times New Roman" w:cs="Times New Roman"/>
          <w:sz w:val="28"/>
          <w:szCs w:val="28"/>
          <w:lang w:val="en-ZA"/>
        </w:rPr>
        <w:t>supporting affidavits have been filed</w:t>
      </w:r>
      <w:r w:rsidR="00A9647A">
        <w:rPr>
          <w:rFonts w:ascii="Times New Roman" w:hAnsi="Times New Roman" w:cs="Times New Roman"/>
          <w:sz w:val="28"/>
          <w:szCs w:val="28"/>
          <w:lang w:val="en-ZA"/>
        </w:rPr>
        <w:t xml:space="preserve"> in terms of</w:t>
      </w:r>
      <w:r>
        <w:rPr>
          <w:rFonts w:ascii="Times New Roman" w:hAnsi="Times New Roman" w:cs="Times New Roman"/>
          <w:sz w:val="28"/>
          <w:szCs w:val="28"/>
          <w:lang w:val="en-ZA"/>
        </w:rPr>
        <w:t xml:space="preserve"> which these applicants associate themselves with the averments in the founding affidavit </w:t>
      </w:r>
      <w:r w:rsidR="0011108C">
        <w:rPr>
          <w:rFonts w:ascii="Times New Roman" w:hAnsi="Times New Roman" w:cs="Times New Roman"/>
          <w:sz w:val="28"/>
          <w:szCs w:val="28"/>
          <w:lang w:val="en-ZA"/>
        </w:rPr>
        <w:t xml:space="preserve">deposed to </w:t>
      </w:r>
      <w:r>
        <w:rPr>
          <w:rFonts w:ascii="Times New Roman" w:hAnsi="Times New Roman" w:cs="Times New Roman"/>
          <w:sz w:val="28"/>
          <w:szCs w:val="28"/>
          <w:lang w:val="en-ZA"/>
        </w:rPr>
        <w:t>by the 2</w:t>
      </w:r>
      <w:r w:rsidRPr="00125532">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and that they all have interest in the subject matter of </w:t>
      </w:r>
      <w:r w:rsidR="0011108C">
        <w:rPr>
          <w:rFonts w:ascii="Times New Roman" w:hAnsi="Times New Roman" w:cs="Times New Roman"/>
          <w:sz w:val="28"/>
          <w:szCs w:val="28"/>
          <w:lang w:val="en-ZA"/>
        </w:rPr>
        <w:t xml:space="preserve">this </w:t>
      </w:r>
      <w:r>
        <w:rPr>
          <w:rFonts w:ascii="Times New Roman" w:hAnsi="Times New Roman" w:cs="Times New Roman"/>
          <w:sz w:val="28"/>
          <w:szCs w:val="28"/>
          <w:lang w:val="en-ZA"/>
        </w:rPr>
        <w:t>litigation.</w:t>
      </w:r>
    </w:p>
    <w:p w14:paraId="65840861" w14:textId="15424C47" w:rsidR="00125532" w:rsidRDefault="00125532" w:rsidP="00866F7D">
      <w:pPr>
        <w:spacing w:after="0" w:line="360" w:lineRule="auto"/>
        <w:ind w:left="720" w:hanging="720"/>
        <w:jc w:val="both"/>
        <w:rPr>
          <w:rFonts w:ascii="Times New Roman" w:hAnsi="Times New Roman" w:cs="Times New Roman"/>
          <w:sz w:val="28"/>
          <w:szCs w:val="28"/>
          <w:lang w:val="en-ZA"/>
        </w:rPr>
      </w:pPr>
    </w:p>
    <w:p w14:paraId="0D90019D" w14:textId="08A60285" w:rsidR="00A11324" w:rsidRDefault="00125532" w:rsidP="00866F7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On the merits</w:t>
      </w:r>
      <w:r w:rsidR="005C2F6F">
        <w:rPr>
          <w:rFonts w:ascii="Times New Roman" w:hAnsi="Times New Roman" w:cs="Times New Roman"/>
          <w:sz w:val="28"/>
          <w:szCs w:val="28"/>
          <w:lang w:val="en-ZA"/>
        </w:rPr>
        <w:t>,</w:t>
      </w:r>
      <w:r>
        <w:rPr>
          <w:rFonts w:ascii="Times New Roman" w:hAnsi="Times New Roman" w:cs="Times New Roman"/>
          <w:sz w:val="28"/>
          <w:szCs w:val="28"/>
          <w:lang w:val="en-ZA"/>
        </w:rPr>
        <w:t xml:space="preserve"> the applicants argue that no court </w:t>
      </w:r>
      <w:r w:rsidR="005C2F6F">
        <w:rPr>
          <w:rFonts w:ascii="Times New Roman" w:hAnsi="Times New Roman" w:cs="Times New Roman"/>
          <w:sz w:val="28"/>
          <w:szCs w:val="28"/>
          <w:lang w:val="en-ZA"/>
        </w:rPr>
        <w:t xml:space="preserve">order </w:t>
      </w:r>
      <w:r>
        <w:rPr>
          <w:rFonts w:ascii="Times New Roman" w:hAnsi="Times New Roman" w:cs="Times New Roman"/>
          <w:sz w:val="28"/>
          <w:szCs w:val="28"/>
          <w:lang w:val="en-ZA"/>
        </w:rPr>
        <w:t xml:space="preserve">authorized the respondent </w:t>
      </w:r>
      <w:r w:rsidR="00A11324">
        <w:rPr>
          <w:rFonts w:ascii="Times New Roman" w:hAnsi="Times New Roman" w:cs="Times New Roman"/>
          <w:sz w:val="28"/>
          <w:szCs w:val="28"/>
          <w:lang w:val="en-ZA"/>
        </w:rPr>
        <w:t>to freeze the 1</w:t>
      </w:r>
      <w:r w:rsidR="00A11324" w:rsidRPr="00A11324">
        <w:rPr>
          <w:rFonts w:ascii="Times New Roman" w:hAnsi="Times New Roman" w:cs="Times New Roman"/>
          <w:sz w:val="28"/>
          <w:szCs w:val="28"/>
          <w:vertAlign w:val="superscript"/>
          <w:lang w:val="en-ZA"/>
        </w:rPr>
        <w:t>st</w:t>
      </w:r>
      <w:r w:rsidR="00A11324">
        <w:rPr>
          <w:rFonts w:ascii="Times New Roman" w:hAnsi="Times New Roman" w:cs="Times New Roman"/>
          <w:sz w:val="28"/>
          <w:szCs w:val="28"/>
          <w:lang w:val="en-ZA"/>
        </w:rPr>
        <w:t xml:space="preserve"> applicant’s account and that its reliance on the provisions of the money laundering and Proceeds of Crime Act, 2008 read with Money Laundering Regulations No. 19 of 2019, is equally without merit.</w:t>
      </w:r>
    </w:p>
    <w:p w14:paraId="10BE4B38" w14:textId="77777777" w:rsidR="00A11324" w:rsidRDefault="00A11324" w:rsidP="00866F7D">
      <w:pPr>
        <w:spacing w:after="0" w:line="360" w:lineRule="auto"/>
        <w:ind w:left="720" w:hanging="720"/>
        <w:jc w:val="both"/>
        <w:rPr>
          <w:rFonts w:ascii="Times New Roman" w:hAnsi="Times New Roman" w:cs="Times New Roman"/>
          <w:sz w:val="28"/>
          <w:szCs w:val="28"/>
          <w:lang w:val="en-ZA"/>
        </w:rPr>
      </w:pPr>
    </w:p>
    <w:p w14:paraId="2A52701C" w14:textId="6BE1FC84" w:rsidR="00A11324" w:rsidRDefault="00A11324" w:rsidP="00866F7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The respondent, on the one hand</w:t>
      </w:r>
      <w:r w:rsidR="005C2F6F">
        <w:rPr>
          <w:rFonts w:ascii="Times New Roman" w:hAnsi="Times New Roman" w:cs="Times New Roman"/>
          <w:sz w:val="28"/>
          <w:szCs w:val="28"/>
          <w:lang w:val="en-ZA"/>
        </w:rPr>
        <w:t>,</w:t>
      </w:r>
      <w:r>
        <w:rPr>
          <w:rFonts w:ascii="Times New Roman" w:hAnsi="Times New Roman" w:cs="Times New Roman"/>
          <w:sz w:val="28"/>
          <w:szCs w:val="28"/>
          <w:lang w:val="en-ZA"/>
        </w:rPr>
        <w:t xml:space="preserve"> argued that it imposed</w:t>
      </w:r>
      <w:r w:rsidR="005C2F6F">
        <w:rPr>
          <w:rFonts w:ascii="Times New Roman" w:hAnsi="Times New Roman" w:cs="Times New Roman"/>
          <w:sz w:val="28"/>
          <w:szCs w:val="28"/>
          <w:lang w:val="en-ZA"/>
        </w:rPr>
        <w:t xml:space="preserve"> what </w:t>
      </w:r>
      <w:r>
        <w:rPr>
          <w:rFonts w:ascii="Times New Roman" w:hAnsi="Times New Roman" w:cs="Times New Roman"/>
          <w:sz w:val="28"/>
          <w:szCs w:val="28"/>
          <w:lang w:val="en-ZA"/>
        </w:rPr>
        <w:t>it refer</w:t>
      </w:r>
      <w:r w:rsidR="005C2F6F">
        <w:rPr>
          <w:rFonts w:ascii="Times New Roman" w:hAnsi="Times New Roman" w:cs="Times New Roman"/>
          <w:sz w:val="28"/>
          <w:szCs w:val="28"/>
          <w:lang w:val="en-ZA"/>
        </w:rPr>
        <w:t>red</w:t>
      </w:r>
      <w:r>
        <w:rPr>
          <w:rFonts w:ascii="Times New Roman" w:hAnsi="Times New Roman" w:cs="Times New Roman"/>
          <w:sz w:val="28"/>
          <w:szCs w:val="28"/>
          <w:lang w:val="en-ZA"/>
        </w:rPr>
        <w:t xml:space="preserve"> to as a “temporary freeze” on the 1</w:t>
      </w:r>
      <w:r w:rsidRPr="00A1132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applicant’s </w:t>
      </w:r>
      <w:r w:rsidR="005C2F6F">
        <w:rPr>
          <w:rFonts w:ascii="Times New Roman" w:hAnsi="Times New Roman" w:cs="Times New Roman"/>
          <w:sz w:val="28"/>
          <w:szCs w:val="28"/>
          <w:lang w:val="en-ZA"/>
        </w:rPr>
        <w:t xml:space="preserve">bank </w:t>
      </w:r>
      <w:r>
        <w:rPr>
          <w:rFonts w:ascii="Times New Roman" w:hAnsi="Times New Roman" w:cs="Times New Roman"/>
          <w:sz w:val="28"/>
          <w:szCs w:val="28"/>
          <w:lang w:val="en-ZA"/>
        </w:rPr>
        <w:t>account due large transfers of money which were made into th</w:t>
      </w:r>
      <w:r w:rsidR="005C2F6F">
        <w:rPr>
          <w:rFonts w:ascii="Times New Roman" w:hAnsi="Times New Roman" w:cs="Times New Roman"/>
          <w:sz w:val="28"/>
          <w:szCs w:val="28"/>
          <w:lang w:val="en-ZA"/>
        </w:rPr>
        <w:t xml:space="preserve">is account which were determined to be </w:t>
      </w:r>
      <w:r>
        <w:rPr>
          <w:rFonts w:ascii="Times New Roman" w:hAnsi="Times New Roman" w:cs="Times New Roman"/>
          <w:sz w:val="28"/>
          <w:szCs w:val="28"/>
          <w:lang w:val="en-ZA"/>
        </w:rPr>
        <w:t>inconsistent with the account’s transaction history.  These transactions were suspicious</w:t>
      </w:r>
      <w:r w:rsidR="007406D4">
        <w:rPr>
          <w:rFonts w:ascii="Times New Roman" w:hAnsi="Times New Roman" w:cs="Times New Roman"/>
          <w:sz w:val="28"/>
          <w:szCs w:val="28"/>
          <w:lang w:val="en-ZA"/>
        </w:rPr>
        <w:t xml:space="preserve">, triggering it to log a </w:t>
      </w:r>
      <w:r w:rsidR="005C2F6F">
        <w:rPr>
          <w:rFonts w:ascii="Times New Roman" w:hAnsi="Times New Roman" w:cs="Times New Roman"/>
          <w:sz w:val="28"/>
          <w:szCs w:val="28"/>
          <w:lang w:val="en-ZA"/>
        </w:rPr>
        <w:t>‘</w:t>
      </w:r>
      <w:r w:rsidR="007406D4">
        <w:rPr>
          <w:rFonts w:ascii="Times New Roman" w:hAnsi="Times New Roman" w:cs="Times New Roman"/>
          <w:sz w:val="28"/>
          <w:szCs w:val="28"/>
          <w:lang w:val="en-ZA"/>
        </w:rPr>
        <w:t>suspicious transaction</w:t>
      </w:r>
      <w:r w:rsidR="005C2F6F">
        <w:rPr>
          <w:rFonts w:ascii="Times New Roman" w:hAnsi="Times New Roman" w:cs="Times New Roman"/>
          <w:sz w:val="28"/>
          <w:szCs w:val="28"/>
          <w:lang w:val="en-ZA"/>
        </w:rPr>
        <w:t>’</w:t>
      </w:r>
      <w:r w:rsidR="007406D4">
        <w:rPr>
          <w:rFonts w:ascii="Times New Roman" w:hAnsi="Times New Roman" w:cs="Times New Roman"/>
          <w:sz w:val="28"/>
          <w:szCs w:val="28"/>
          <w:lang w:val="en-ZA"/>
        </w:rPr>
        <w:t xml:space="preserve"> with the Financial Intelligence Unit</w:t>
      </w:r>
      <w:r w:rsidR="000151AF">
        <w:rPr>
          <w:rFonts w:ascii="Times New Roman" w:hAnsi="Times New Roman" w:cs="Times New Roman"/>
          <w:sz w:val="28"/>
          <w:szCs w:val="28"/>
          <w:lang w:val="en-ZA"/>
        </w:rPr>
        <w:t xml:space="preserve"> (FIU)</w:t>
      </w:r>
      <w:r w:rsidR="007406D4">
        <w:rPr>
          <w:rFonts w:ascii="Times New Roman" w:hAnsi="Times New Roman" w:cs="Times New Roman"/>
          <w:sz w:val="28"/>
          <w:szCs w:val="28"/>
          <w:lang w:val="en-ZA"/>
        </w:rPr>
        <w:t xml:space="preserve"> in terms of the anti-money laundering legislation.  The respondent argues that “immediately thereafter” it was served with a court order directing it to reverse the payment totalling an amount of M2,805,493.23</w:t>
      </w:r>
      <w:r w:rsidR="005C2F6F">
        <w:rPr>
          <w:rFonts w:ascii="Times New Roman" w:hAnsi="Times New Roman" w:cs="Times New Roman"/>
          <w:sz w:val="28"/>
          <w:szCs w:val="28"/>
          <w:lang w:val="en-ZA"/>
        </w:rPr>
        <w:t>,</w:t>
      </w:r>
      <w:r w:rsidR="007406D4">
        <w:rPr>
          <w:rFonts w:ascii="Times New Roman" w:hAnsi="Times New Roman" w:cs="Times New Roman"/>
          <w:sz w:val="28"/>
          <w:szCs w:val="28"/>
          <w:lang w:val="en-ZA"/>
        </w:rPr>
        <w:t xml:space="preserve"> and </w:t>
      </w:r>
      <w:r w:rsidR="005C2F6F">
        <w:rPr>
          <w:rFonts w:ascii="Times New Roman" w:hAnsi="Times New Roman" w:cs="Times New Roman"/>
          <w:sz w:val="28"/>
          <w:szCs w:val="28"/>
          <w:lang w:val="en-ZA"/>
        </w:rPr>
        <w:t xml:space="preserve">that the same court order </w:t>
      </w:r>
      <w:r w:rsidR="007406D4">
        <w:rPr>
          <w:rFonts w:ascii="Times New Roman" w:hAnsi="Times New Roman" w:cs="Times New Roman"/>
          <w:sz w:val="28"/>
          <w:szCs w:val="28"/>
          <w:lang w:val="en-ZA"/>
        </w:rPr>
        <w:t xml:space="preserve">also interdicted it from making any further payments from Platinum Credit Limited account without Platcorp Holdings Limited’s prior written consent, and that this order remains extant. </w:t>
      </w:r>
    </w:p>
    <w:p w14:paraId="3A70F10B" w14:textId="19DC0E69" w:rsidR="007406D4" w:rsidRDefault="007406D4" w:rsidP="00866F7D">
      <w:pPr>
        <w:spacing w:after="0" w:line="360" w:lineRule="auto"/>
        <w:ind w:left="720" w:hanging="720"/>
        <w:jc w:val="both"/>
        <w:rPr>
          <w:rFonts w:ascii="Times New Roman" w:hAnsi="Times New Roman" w:cs="Times New Roman"/>
          <w:sz w:val="28"/>
          <w:szCs w:val="28"/>
          <w:lang w:val="en-ZA"/>
        </w:rPr>
      </w:pPr>
    </w:p>
    <w:p w14:paraId="2A219CB3" w14:textId="751C214D" w:rsidR="007406D4" w:rsidRDefault="007406D4" w:rsidP="00866F7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The second leg of the respondent’s contention </w:t>
      </w:r>
      <w:r w:rsidR="00280EB3">
        <w:rPr>
          <w:rFonts w:ascii="Times New Roman" w:hAnsi="Times New Roman" w:cs="Times New Roman"/>
          <w:sz w:val="28"/>
          <w:szCs w:val="28"/>
          <w:lang w:val="en-ZA"/>
        </w:rPr>
        <w:t>went</w:t>
      </w:r>
      <w:r>
        <w:rPr>
          <w:rFonts w:ascii="Times New Roman" w:hAnsi="Times New Roman" w:cs="Times New Roman"/>
          <w:sz w:val="28"/>
          <w:szCs w:val="28"/>
          <w:lang w:val="en-ZA"/>
        </w:rPr>
        <w:t xml:space="preserve"> like this: The transactions involved here raised suspicio</w:t>
      </w:r>
      <w:r w:rsidR="00910464">
        <w:rPr>
          <w:rFonts w:ascii="Times New Roman" w:hAnsi="Times New Roman" w:cs="Times New Roman"/>
          <w:sz w:val="28"/>
          <w:szCs w:val="28"/>
          <w:lang w:val="en-ZA"/>
        </w:rPr>
        <w:t>ns</w:t>
      </w:r>
      <w:r>
        <w:rPr>
          <w:rFonts w:ascii="Times New Roman" w:hAnsi="Times New Roman" w:cs="Times New Roman"/>
          <w:sz w:val="28"/>
          <w:szCs w:val="28"/>
          <w:lang w:val="en-ZA"/>
        </w:rPr>
        <w:t xml:space="preserve"> because they did not fit with the knowledge base for which the business relationship between the respondent and 1</w:t>
      </w:r>
      <w:r w:rsidRPr="007406D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 was established, and therefore, for this reason, in terms of Guideline </w:t>
      </w:r>
      <w:r>
        <w:rPr>
          <w:rFonts w:ascii="Times New Roman" w:hAnsi="Times New Roman" w:cs="Times New Roman"/>
          <w:sz w:val="28"/>
          <w:szCs w:val="28"/>
          <w:lang w:val="en-ZA"/>
        </w:rPr>
        <w:lastRenderedPageBreak/>
        <w:t xml:space="preserve">2 read with Guideline </w:t>
      </w:r>
      <w:r w:rsidR="00C34D21">
        <w:rPr>
          <w:rFonts w:ascii="Times New Roman" w:hAnsi="Times New Roman" w:cs="Times New Roman"/>
          <w:sz w:val="28"/>
          <w:szCs w:val="28"/>
          <w:lang w:val="en-ZA"/>
        </w:rPr>
        <w:t>11</w:t>
      </w:r>
      <w:r>
        <w:rPr>
          <w:rFonts w:ascii="Times New Roman" w:hAnsi="Times New Roman" w:cs="Times New Roman"/>
          <w:sz w:val="28"/>
          <w:szCs w:val="28"/>
          <w:lang w:val="en-ZA"/>
        </w:rPr>
        <w:t xml:space="preserve"> of the </w:t>
      </w:r>
      <w:bookmarkStart w:id="2" w:name="_Hlk141178999"/>
      <w:r>
        <w:rPr>
          <w:rFonts w:ascii="Times New Roman" w:hAnsi="Times New Roman" w:cs="Times New Roman"/>
          <w:sz w:val="28"/>
          <w:szCs w:val="28"/>
          <w:lang w:val="en-ZA"/>
        </w:rPr>
        <w:t xml:space="preserve">Financial Institutions (Anti-Money Laundering Guideline 2000, Guideline 7 read with Guideline 18(1) of the </w:t>
      </w:r>
      <w:r w:rsidR="00766BD4">
        <w:rPr>
          <w:rFonts w:ascii="Times New Roman" w:hAnsi="Times New Roman" w:cs="Times New Roman"/>
          <w:sz w:val="28"/>
          <w:szCs w:val="28"/>
          <w:lang w:val="en-ZA"/>
        </w:rPr>
        <w:t>Money Laundering (Accountable Institutions) Guidelines, 2013</w:t>
      </w:r>
      <w:bookmarkEnd w:id="2"/>
      <w:r w:rsidR="00766BD4">
        <w:rPr>
          <w:rFonts w:ascii="Times New Roman" w:hAnsi="Times New Roman" w:cs="Times New Roman"/>
          <w:sz w:val="28"/>
          <w:szCs w:val="28"/>
          <w:lang w:val="en-ZA"/>
        </w:rPr>
        <w:t xml:space="preserve">, it was enjoined to report any </w:t>
      </w:r>
      <w:r w:rsidR="000151AF">
        <w:rPr>
          <w:rFonts w:ascii="Times New Roman" w:hAnsi="Times New Roman" w:cs="Times New Roman"/>
          <w:sz w:val="28"/>
          <w:szCs w:val="28"/>
          <w:lang w:val="en-ZA"/>
        </w:rPr>
        <w:t>transactions</w:t>
      </w:r>
      <w:r w:rsidR="00766BD4">
        <w:rPr>
          <w:rFonts w:ascii="Times New Roman" w:hAnsi="Times New Roman" w:cs="Times New Roman"/>
          <w:sz w:val="28"/>
          <w:szCs w:val="28"/>
          <w:lang w:val="en-ZA"/>
        </w:rPr>
        <w:t xml:space="preserve"> w</w:t>
      </w:r>
      <w:r w:rsidR="00511A98">
        <w:rPr>
          <w:rFonts w:ascii="Times New Roman" w:hAnsi="Times New Roman" w:cs="Times New Roman"/>
          <w:sz w:val="28"/>
          <w:szCs w:val="28"/>
          <w:lang w:val="en-ZA"/>
        </w:rPr>
        <w:t>hich raised suspicions.</w:t>
      </w:r>
      <w:r w:rsidR="000151AF">
        <w:rPr>
          <w:rFonts w:ascii="Times New Roman" w:hAnsi="Times New Roman" w:cs="Times New Roman"/>
          <w:sz w:val="28"/>
          <w:szCs w:val="28"/>
          <w:lang w:val="en-ZA"/>
        </w:rPr>
        <w:t xml:space="preserve"> It went further to argue </w:t>
      </w:r>
      <w:r w:rsidR="00511A98">
        <w:rPr>
          <w:rFonts w:ascii="Times New Roman" w:hAnsi="Times New Roman" w:cs="Times New Roman"/>
          <w:sz w:val="28"/>
          <w:szCs w:val="28"/>
          <w:lang w:val="en-ZA"/>
        </w:rPr>
        <w:t xml:space="preserve">that in terms of Money Laundering and Proceeds of Crime (Amendment), Act, 2016, Section 11 (1A) (b) thereof, it is obligated to conduct </w:t>
      </w:r>
      <w:r w:rsidR="000151AF">
        <w:rPr>
          <w:rFonts w:ascii="Times New Roman" w:hAnsi="Times New Roman" w:cs="Times New Roman"/>
          <w:sz w:val="28"/>
          <w:szCs w:val="28"/>
          <w:lang w:val="en-ZA"/>
        </w:rPr>
        <w:t xml:space="preserve">an </w:t>
      </w:r>
      <w:r w:rsidR="00511A98">
        <w:rPr>
          <w:rFonts w:ascii="Times New Roman" w:hAnsi="Times New Roman" w:cs="Times New Roman"/>
          <w:sz w:val="28"/>
          <w:szCs w:val="28"/>
          <w:lang w:val="en-ZA"/>
        </w:rPr>
        <w:t>on-going customer due diligence on the relationship</w:t>
      </w:r>
      <w:r w:rsidR="000151AF">
        <w:rPr>
          <w:rFonts w:ascii="Times New Roman" w:hAnsi="Times New Roman" w:cs="Times New Roman"/>
          <w:sz w:val="28"/>
          <w:szCs w:val="28"/>
          <w:lang w:val="en-ZA"/>
        </w:rPr>
        <w:t xml:space="preserve"> it has with its customers</w:t>
      </w:r>
      <w:r w:rsidR="00511A98">
        <w:rPr>
          <w:rFonts w:ascii="Times New Roman" w:hAnsi="Times New Roman" w:cs="Times New Roman"/>
          <w:sz w:val="28"/>
          <w:szCs w:val="28"/>
          <w:lang w:val="en-ZA"/>
        </w:rPr>
        <w:t xml:space="preserve"> which includes </w:t>
      </w:r>
      <w:r w:rsidR="00120B2E">
        <w:rPr>
          <w:rFonts w:ascii="Times New Roman" w:hAnsi="Times New Roman" w:cs="Times New Roman"/>
          <w:sz w:val="28"/>
          <w:szCs w:val="28"/>
          <w:lang w:val="en-ZA"/>
        </w:rPr>
        <w:t>scrutinizing transactions undertaken to ensure that they are consistent with the accountable institution’s knowledge of the Customer, the business and risk profile</w:t>
      </w:r>
      <w:r w:rsidR="000151AF">
        <w:rPr>
          <w:rFonts w:ascii="Times New Roman" w:hAnsi="Times New Roman" w:cs="Times New Roman"/>
          <w:sz w:val="28"/>
          <w:szCs w:val="28"/>
          <w:lang w:val="en-ZA"/>
        </w:rPr>
        <w:t>. In doing so</w:t>
      </w:r>
      <w:r w:rsidR="00120B2E">
        <w:rPr>
          <w:rFonts w:ascii="Times New Roman" w:hAnsi="Times New Roman" w:cs="Times New Roman"/>
          <w:sz w:val="28"/>
          <w:szCs w:val="28"/>
          <w:lang w:val="en-ZA"/>
        </w:rPr>
        <w:t xml:space="preserve"> in some instances </w:t>
      </w:r>
      <w:r w:rsidR="000151AF">
        <w:rPr>
          <w:rFonts w:ascii="Times New Roman" w:hAnsi="Times New Roman" w:cs="Times New Roman"/>
          <w:sz w:val="28"/>
          <w:szCs w:val="28"/>
          <w:lang w:val="en-ZA"/>
        </w:rPr>
        <w:t>it</w:t>
      </w:r>
      <w:r w:rsidR="00120B2E">
        <w:rPr>
          <w:rFonts w:ascii="Times New Roman" w:hAnsi="Times New Roman" w:cs="Times New Roman"/>
          <w:sz w:val="28"/>
          <w:szCs w:val="28"/>
          <w:lang w:val="en-ZA"/>
        </w:rPr>
        <w:t xml:space="preserve"> demand</w:t>
      </w:r>
      <w:r w:rsidR="000151AF">
        <w:rPr>
          <w:rFonts w:ascii="Times New Roman" w:hAnsi="Times New Roman" w:cs="Times New Roman"/>
          <w:sz w:val="28"/>
          <w:szCs w:val="28"/>
          <w:lang w:val="en-ZA"/>
        </w:rPr>
        <w:t>s</w:t>
      </w:r>
      <w:r w:rsidR="00120B2E">
        <w:rPr>
          <w:rFonts w:ascii="Times New Roman" w:hAnsi="Times New Roman" w:cs="Times New Roman"/>
          <w:sz w:val="28"/>
          <w:szCs w:val="28"/>
          <w:lang w:val="en-ZA"/>
        </w:rPr>
        <w:t xml:space="preserve"> information from clients concerning </w:t>
      </w:r>
      <w:r w:rsidR="000151AF">
        <w:rPr>
          <w:rFonts w:ascii="Times New Roman" w:hAnsi="Times New Roman" w:cs="Times New Roman"/>
          <w:sz w:val="28"/>
          <w:szCs w:val="28"/>
          <w:lang w:val="en-ZA"/>
        </w:rPr>
        <w:t>the</w:t>
      </w:r>
      <w:r w:rsidR="00120B2E">
        <w:rPr>
          <w:rFonts w:ascii="Times New Roman" w:hAnsi="Times New Roman" w:cs="Times New Roman"/>
          <w:sz w:val="28"/>
          <w:szCs w:val="28"/>
          <w:lang w:val="en-ZA"/>
        </w:rPr>
        <w:t xml:space="preserve"> source of </w:t>
      </w:r>
      <w:r w:rsidR="000151AF">
        <w:rPr>
          <w:rFonts w:ascii="Times New Roman" w:hAnsi="Times New Roman" w:cs="Times New Roman"/>
          <w:sz w:val="28"/>
          <w:szCs w:val="28"/>
          <w:lang w:val="en-ZA"/>
        </w:rPr>
        <w:t xml:space="preserve">their </w:t>
      </w:r>
      <w:r w:rsidR="00120B2E">
        <w:rPr>
          <w:rFonts w:ascii="Times New Roman" w:hAnsi="Times New Roman" w:cs="Times New Roman"/>
          <w:sz w:val="28"/>
          <w:szCs w:val="28"/>
          <w:lang w:val="en-ZA"/>
        </w:rPr>
        <w:t xml:space="preserve">funds where it suspects that the transaction </w:t>
      </w:r>
      <w:r w:rsidR="000151AF">
        <w:rPr>
          <w:rFonts w:ascii="Times New Roman" w:hAnsi="Times New Roman" w:cs="Times New Roman"/>
          <w:sz w:val="28"/>
          <w:szCs w:val="28"/>
          <w:lang w:val="en-ZA"/>
        </w:rPr>
        <w:t xml:space="preserve">involved </w:t>
      </w:r>
      <w:r w:rsidR="00120B2E">
        <w:rPr>
          <w:rFonts w:ascii="Times New Roman" w:hAnsi="Times New Roman" w:cs="Times New Roman"/>
          <w:sz w:val="28"/>
          <w:szCs w:val="28"/>
          <w:lang w:val="en-ZA"/>
        </w:rPr>
        <w:t>is related to commission of money laundering offence and to report same to the FIU in terms of section 18 of the Money Laundering and Proceeds of Crime Act, 2008</w:t>
      </w:r>
      <w:r w:rsidR="00BA79E0">
        <w:rPr>
          <w:rFonts w:ascii="Times New Roman" w:hAnsi="Times New Roman" w:cs="Times New Roman"/>
          <w:sz w:val="28"/>
          <w:szCs w:val="28"/>
          <w:lang w:val="en-ZA"/>
        </w:rPr>
        <w:t xml:space="preserve"> as amended</w:t>
      </w:r>
      <w:r w:rsidR="000151AF">
        <w:rPr>
          <w:rFonts w:ascii="Times New Roman" w:hAnsi="Times New Roman" w:cs="Times New Roman"/>
          <w:sz w:val="28"/>
          <w:szCs w:val="28"/>
          <w:lang w:val="en-ZA"/>
        </w:rPr>
        <w:t>.</w:t>
      </w:r>
      <w:r w:rsidR="00120B2E">
        <w:rPr>
          <w:rFonts w:ascii="Times New Roman" w:hAnsi="Times New Roman" w:cs="Times New Roman"/>
          <w:sz w:val="28"/>
          <w:szCs w:val="28"/>
          <w:lang w:val="en-ZA"/>
        </w:rPr>
        <w:t xml:space="preserve"> </w:t>
      </w:r>
    </w:p>
    <w:p w14:paraId="4B715119" w14:textId="5BC9C39E" w:rsidR="00120B2E" w:rsidRDefault="00120B2E" w:rsidP="00866F7D">
      <w:pPr>
        <w:spacing w:after="0" w:line="360" w:lineRule="auto"/>
        <w:ind w:left="720" w:hanging="720"/>
        <w:jc w:val="both"/>
        <w:rPr>
          <w:rFonts w:ascii="Times New Roman" w:hAnsi="Times New Roman" w:cs="Times New Roman"/>
          <w:sz w:val="28"/>
          <w:szCs w:val="28"/>
          <w:lang w:val="en-ZA"/>
        </w:rPr>
      </w:pPr>
    </w:p>
    <w:p w14:paraId="6662625B" w14:textId="1A8E6DB3" w:rsidR="00C64025" w:rsidRDefault="00C64025" w:rsidP="00866F7D">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sidRPr="00C64025">
        <w:rPr>
          <w:rFonts w:ascii="Times New Roman" w:hAnsi="Times New Roman" w:cs="Times New Roman"/>
          <w:b/>
          <w:bCs/>
          <w:sz w:val="28"/>
          <w:szCs w:val="28"/>
          <w:lang w:val="en-ZA"/>
        </w:rPr>
        <w:t>Issues for determination</w:t>
      </w:r>
    </w:p>
    <w:p w14:paraId="651326D8" w14:textId="0D4E0F73" w:rsidR="00C64025" w:rsidRDefault="00C64025" w:rsidP="00866F7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06B354FF" w14:textId="236D0E70" w:rsidR="00C64025" w:rsidRDefault="00C64025" w:rsidP="00C64025">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i/>
          <w:iCs/>
          <w:sz w:val="28"/>
          <w:szCs w:val="28"/>
          <w:lang w:val="en-ZA"/>
        </w:rPr>
        <w:t>Locus Standi</w:t>
      </w:r>
      <w:r>
        <w:rPr>
          <w:rFonts w:ascii="Times New Roman" w:hAnsi="Times New Roman" w:cs="Times New Roman"/>
          <w:sz w:val="28"/>
          <w:szCs w:val="28"/>
          <w:lang w:val="en-ZA"/>
        </w:rPr>
        <w:t xml:space="preserve"> of </w:t>
      </w:r>
      <w:r w:rsidR="004C0F9A">
        <w:rPr>
          <w:rFonts w:ascii="Times New Roman" w:hAnsi="Times New Roman" w:cs="Times New Roman"/>
          <w:sz w:val="28"/>
          <w:szCs w:val="28"/>
          <w:lang w:val="en-ZA"/>
        </w:rPr>
        <w:t>2</w:t>
      </w:r>
      <w:r w:rsidR="000164EE" w:rsidRPr="004C0F9A">
        <w:rPr>
          <w:rFonts w:ascii="Times New Roman" w:hAnsi="Times New Roman" w:cs="Times New Roman"/>
          <w:sz w:val="28"/>
          <w:szCs w:val="28"/>
          <w:vertAlign w:val="superscript"/>
          <w:lang w:val="en-ZA"/>
        </w:rPr>
        <w:t>nd</w:t>
      </w:r>
      <w:r w:rsidR="000164EE">
        <w:rPr>
          <w:rFonts w:ascii="Times New Roman" w:hAnsi="Times New Roman" w:cs="Times New Roman"/>
          <w:sz w:val="28"/>
          <w:szCs w:val="28"/>
          <w:lang w:val="en-ZA"/>
        </w:rPr>
        <w:t xml:space="preserve"> and</w:t>
      </w:r>
      <w:r>
        <w:rPr>
          <w:rFonts w:ascii="Times New Roman" w:hAnsi="Times New Roman" w:cs="Times New Roman"/>
          <w:sz w:val="28"/>
          <w:szCs w:val="28"/>
          <w:lang w:val="en-ZA"/>
        </w:rPr>
        <w:t xml:space="preserve"> 3</w:t>
      </w:r>
      <w:r w:rsidRPr="00C64025">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applicants</w:t>
      </w:r>
    </w:p>
    <w:p w14:paraId="3489586B" w14:textId="59C8296D" w:rsidR="00C64025" w:rsidRDefault="00C64025" w:rsidP="00C64025">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merits</w:t>
      </w:r>
    </w:p>
    <w:p w14:paraId="6EEA15B5" w14:textId="1F0874F6" w:rsidR="00C64025" w:rsidRDefault="00C64025" w:rsidP="00C64025">
      <w:pPr>
        <w:spacing w:after="0" w:line="360" w:lineRule="auto"/>
        <w:jc w:val="both"/>
        <w:rPr>
          <w:rFonts w:ascii="Times New Roman" w:hAnsi="Times New Roman" w:cs="Times New Roman"/>
          <w:sz w:val="28"/>
          <w:szCs w:val="28"/>
          <w:lang w:val="en-ZA"/>
        </w:rPr>
      </w:pPr>
    </w:p>
    <w:p w14:paraId="227BD51A" w14:textId="71A25062" w:rsidR="00C64025" w:rsidRDefault="00C64025" w:rsidP="00C64025">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r>
      <w:r w:rsidR="00542BCC">
        <w:rPr>
          <w:rFonts w:ascii="Times New Roman" w:hAnsi="Times New Roman" w:cs="Times New Roman"/>
          <w:b/>
          <w:bCs/>
          <w:sz w:val="28"/>
          <w:szCs w:val="28"/>
          <w:lang w:val="en-ZA"/>
        </w:rPr>
        <w:t>The Law and Discussion</w:t>
      </w:r>
    </w:p>
    <w:p w14:paraId="7AF2B011" w14:textId="4B596EBE" w:rsidR="00542BCC" w:rsidRDefault="00542BCC" w:rsidP="000164EE">
      <w:pPr>
        <w:spacing w:after="0" w:line="360" w:lineRule="auto"/>
        <w:ind w:left="1077"/>
        <w:jc w:val="both"/>
        <w:rPr>
          <w:rFonts w:ascii="Times New Roman" w:hAnsi="Times New Roman" w:cs="Times New Roman"/>
          <w:b/>
          <w:bCs/>
          <w:sz w:val="28"/>
          <w:szCs w:val="28"/>
          <w:lang w:val="en-ZA"/>
        </w:rPr>
      </w:pPr>
    </w:p>
    <w:p w14:paraId="4D9C5E7E" w14:textId="383A5B66" w:rsidR="000164EE" w:rsidRPr="000164EE" w:rsidRDefault="00542BCC" w:rsidP="000164EE">
      <w:pPr>
        <w:pStyle w:val="ListParagraph"/>
        <w:numPr>
          <w:ilvl w:val="0"/>
          <w:numId w:val="2"/>
        </w:numPr>
        <w:spacing w:after="0" w:line="360" w:lineRule="auto"/>
        <w:ind w:left="1077"/>
        <w:jc w:val="both"/>
        <w:rPr>
          <w:rFonts w:ascii="Times New Roman" w:hAnsi="Times New Roman" w:cs="Times New Roman"/>
          <w:b/>
          <w:bCs/>
          <w:sz w:val="28"/>
          <w:szCs w:val="28"/>
          <w:lang w:val="en-ZA"/>
        </w:rPr>
      </w:pPr>
      <w:r w:rsidRPr="000164EE">
        <w:rPr>
          <w:rFonts w:ascii="Times New Roman" w:hAnsi="Times New Roman" w:cs="Times New Roman"/>
          <w:b/>
          <w:bCs/>
          <w:sz w:val="28"/>
          <w:szCs w:val="28"/>
          <w:lang w:val="en-ZA"/>
        </w:rPr>
        <w:t>2</w:t>
      </w:r>
      <w:r w:rsidRPr="000164EE">
        <w:rPr>
          <w:rFonts w:ascii="Times New Roman" w:hAnsi="Times New Roman" w:cs="Times New Roman"/>
          <w:b/>
          <w:bCs/>
          <w:sz w:val="28"/>
          <w:szCs w:val="28"/>
          <w:vertAlign w:val="superscript"/>
          <w:lang w:val="en-ZA"/>
        </w:rPr>
        <w:t>nd</w:t>
      </w:r>
      <w:r w:rsidRPr="000164EE">
        <w:rPr>
          <w:rFonts w:ascii="Times New Roman" w:hAnsi="Times New Roman" w:cs="Times New Roman"/>
          <w:b/>
          <w:bCs/>
          <w:sz w:val="28"/>
          <w:szCs w:val="28"/>
          <w:lang w:val="en-ZA"/>
        </w:rPr>
        <w:t xml:space="preserve"> and 3</w:t>
      </w:r>
      <w:r w:rsidRPr="000164EE">
        <w:rPr>
          <w:rFonts w:ascii="Times New Roman" w:hAnsi="Times New Roman" w:cs="Times New Roman"/>
          <w:b/>
          <w:bCs/>
          <w:sz w:val="28"/>
          <w:szCs w:val="28"/>
          <w:vertAlign w:val="superscript"/>
          <w:lang w:val="en-ZA"/>
        </w:rPr>
        <w:t>rd</w:t>
      </w:r>
      <w:r w:rsidRPr="000164EE">
        <w:rPr>
          <w:rFonts w:ascii="Times New Roman" w:hAnsi="Times New Roman" w:cs="Times New Roman"/>
          <w:b/>
          <w:bCs/>
          <w:sz w:val="28"/>
          <w:szCs w:val="28"/>
          <w:lang w:val="en-ZA"/>
        </w:rPr>
        <w:t xml:space="preserve"> Applicants’ lack of standing</w:t>
      </w:r>
    </w:p>
    <w:p w14:paraId="0D008265" w14:textId="175F7CF1" w:rsidR="00B26097" w:rsidRDefault="008045BF" w:rsidP="000164EE">
      <w:pPr>
        <w:pStyle w:val="ListParagraph"/>
        <w:spacing w:after="0" w:line="360" w:lineRule="auto"/>
        <w:ind w:left="345"/>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 </w:t>
      </w:r>
      <w:r w:rsidR="00542BCC">
        <w:rPr>
          <w:rFonts w:ascii="Times New Roman" w:hAnsi="Times New Roman" w:cs="Times New Roman"/>
          <w:sz w:val="28"/>
          <w:szCs w:val="28"/>
          <w:lang w:val="en-ZA"/>
        </w:rPr>
        <w:t xml:space="preserve">It is trite that the applicant in the founding affidavit must set out his/her </w:t>
      </w:r>
      <w:r w:rsidR="00542BCC">
        <w:rPr>
          <w:rFonts w:ascii="Times New Roman" w:hAnsi="Times New Roman" w:cs="Times New Roman"/>
          <w:i/>
          <w:iCs/>
          <w:sz w:val="28"/>
          <w:szCs w:val="28"/>
          <w:lang w:val="en-ZA"/>
        </w:rPr>
        <w:t xml:space="preserve">locus </w:t>
      </w:r>
      <w:r w:rsidR="000164EE">
        <w:rPr>
          <w:rFonts w:ascii="Times New Roman" w:hAnsi="Times New Roman" w:cs="Times New Roman"/>
          <w:i/>
          <w:iCs/>
          <w:sz w:val="28"/>
          <w:szCs w:val="28"/>
          <w:lang w:val="en-ZA"/>
        </w:rPr>
        <w:t xml:space="preserve">    </w:t>
      </w:r>
      <w:r w:rsidR="00542BCC">
        <w:rPr>
          <w:rFonts w:ascii="Times New Roman" w:hAnsi="Times New Roman" w:cs="Times New Roman"/>
          <w:i/>
          <w:iCs/>
          <w:sz w:val="28"/>
          <w:szCs w:val="28"/>
          <w:lang w:val="en-ZA"/>
        </w:rPr>
        <w:t>standi</w:t>
      </w:r>
      <w:r w:rsidR="00542BCC">
        <w:rPr>
          <w:rFonts w:ascii="Times New Roman" w:hAnsi="Times New Roman" w:cs="Times New Roman"/>
          <w:sz w:val="28"/>
          <w:szCs w:val="28"/>
          <w:lang w:val="en-ZA"/>
        </w:rPr>
        <w:t xml:space="preserve"> (see</w:t>
      </w:r>
      <w:r w:rsidR="00542BCC">
        <w:rPr>
          <w:rFonts w:ascii="Times New Roman" w:hAnsi="Times New Roman" w:cs="Times New Roman"/>
          <w:b/>
          <w:bCs/>
          <w:sz w:val="28"/>
          <w:szCs w:val="28"/>
          <w:lang w:val="en-ZA"/>
        </w:rPr>
        <w:t xml:space="preserve"> Mars Incorporated v Candy World (Pty) Ltd [1990] ZASCA 149: 1991 (1) SA </w:t>
      </w:r>
      <w:r w:rsidR="00B26097">
        <w:rPr>
          <w:rFonts w:ascii="Times New Roman" w:hAnsi="Times New Roman" w:cs="Times New Roman"/>
          <w:b/>
          <w:bCs/>
          <w:sz w:val="28"/>
          <w:szCs w:val="28"/>
          <w:lang w:val="en-ZA"/>
        </w:rPr>
        <w:t xml:space="preserve">567 </w:t>
      </w:r>
      <w:r w:rsidR="00B26097" w:rsidRPr="00FD393C">
        <w:rPr>
          <w:rFonts w:ascii="Times New Roman" w:hAnsi="Times New Roman" w:cs="Times New Roman"/>
          <w:sz w:val="28"/>
          <w:szCs w:val="28"/>
          <w:lang w:val="en-ZA"/>
        </w:rPr>
        <w:t>at 575 H-I).</w:t>
      </w:r>
      <w:r>
        <w:rPr>
          <w:rFonts w:ascii="Times New Roman" w:hAnsi="Times New Roman" w:cs="Times New Roman"/>
          <w:b/>
          <w:bCs/>
          <w:sz w:val="28"/>
          <w:szCs w:val="28"/>
          <w:lang w:val="en-ZA"/>
        </w:rPr>
        <w:t xml:space="preserve"> </w:t>
      </w:r>
      <w:r w:rsidRPr="008045BF">
        <w:rPr>
          <w:rFonts w:ascii="Times New Roman" w:hAnsi="Times New Roman" w:cs="Times New Roman"/>
          <w:sz w:val="28"/>
          <w:szCs w:val="28"/>
          <w:lang w:val="en-ZA"/>
        </w:rPr>
        <w:t>F</w:t>
      </w:r>
      <w:r w:rsidR="00B26097">
        <w:rPr>
          <w:rFonts w:ascii="Times New Roman" w:hAnsi="Times New Roman" w:cs="Times New Roman"/>
          <w:sz w:val="28"/>
          <w:szCs w:val="28"/>
          <w:lang w:val="en-ZA"/>
        </w:rPr>
        <w:t xml:space="preserve">ailure to allege and prove </w:t>
      </w:r>
      <w:r w:rsidR="00B26097">
        <w:rPr>
          <w:rFonts w:ascii="Times New Roman" w:hAnsi="Times New Roman" w:cs="Times New Roman"/>
          <w:i/>
          <w:iCs/>
          <w:sz w:val="28"/>
          <w:szCs w:val="28"/>
          <w:lang w:val="en-ZA"/>
        </w:rPr>
        <w:t>locus standi</w:t>
      </w:r>
      <w:r w:rsidR="00B26097">
        <w:rPr>
          <w:rFonts w:ascii="Times New Roman" w:hAnsi="Times New Roman" w:cs="Times New Roman"/>
          <w:sz w:val="28"/>
          <w:szCs w:val="28"/>
          <w:lang w:val="en-ZA"/>
        </w:rPr>
        <w:t xml:space="preserve"> of the applicant would spell doom for the application at this initial stage.  However, </w:t>
      </w:r>
      <w:r w:rsidR="00B26097">
        <w:rPr>
          <w:rFonts w:ascii="Times New Roman" w:hAnsi="Times New Roman" w:cs="Times New Roman"/>
          <w:sz w:val="28"/>
          <w:szCs w:val="28"/>
          <w:lang w:val="en-ZA"/>
        </w:rPr>
        <w:lastRenderedPageBreak/>
        <w:t xml:space="preserve">where the party’s </w:t>
      </w:r>
      <w:r w:rsidR="00B26097">
        <w:rPr>
          <w:rFonts w:ascii="Times New Roman" w:hAnsi="Times New Roman" w:cs="Times New Roman"/>
          <w:i/>
          <w:iCs/>
          <w:sz w:val="28"/>
          <w:szCs w:val="28"/>
          <w:lang w:val="en-ZA"/>
        </w:rPr>
        <w:t xml:space="preserve">locus standi </w:t>
      </w:r>
      <w:r w:rsidR="00B26097" w:rsidRPr="008045BF">
        <w:rPr>
          <w:rFonts w:ascii="Times New Roman" w:hAnsi="Times New Roman" w:cs="Times New Roman"/>
          <w:sz w:val="28"/>
          <w:szCs w:val="28"/>
          <w:lang w:val="en-ZA"/>
        </w:rPr>
        <w:t>appears</w:t>
      </w:r>
      <w:r w:rsidR="00B26097">
        <w:rPr>
          <w:rFonts w:ascii="Times New Roman" w:hAnsi="Times New Roman" w:cs="Times New Roman"/>
          <w:i/>
          <w:iCs/>
          <w:sz w:val="28"/>
          <w:szCs w:val="28"/>
          <w:lang w:val="en-ZA"/>
        </w:rPr>
        <w:t xml:space="preserve"> </w:t>
      </w:r>
      <w:r w:rsidR="00B26097">
        <w:rPr>
          <w:rFonts w:ascii="Times New Roman" w:hAnsi="Times New Roman" w:cs="Times New Roman"/>
          <w:sz w:val="28"/>
          <w:szCs w:val="28"/>
          <w:lang w:val="en-ZA"/>
        </w:rPr>
        <w:t xml:space="preserve">clearly from the facts of the case, there is no need to allege it.  </w:t>
      </w:r>
      <w:r w:rsidR="00B26097">
        <w:rPr>
          <w:rFonts w:ascii="Times New Roman" w:hAnsi="Times New Roman" w:cs="Times New Roman"/>
          <w:i/>
          <w:iCs/>
          <w:sz w:val="28"/>
          <w:szCs w:val="28"/>
          <w:lang w:val="en-ZA"/>
        </w:rPr>
        <w:t xml:space="preserve">Locus standi </w:t>
      </w:r>
      <w:r w:rsidR="00B26097">
        <w:rPr>
          <w:rFonts w:ascii="Times New Roman" w:hAnsi="Times New Roman" w:cs="Times New Roman"/>
          <w:sz w:val="28"/>
          <w:szCs w:val="28"/>
          <w:lang w:val="en-ZA"/>
        </w:rPr>
        <w:t>refers to the capacity of a person to institute proceedings and the interest such a person has in the outcome of the case, what is commonly refers to a direct and substantial interest</w:t>
      </w:r>
      <w:r w:rsidR="000A20C5">
        <w:rPr>
          <w:rFonts w:ascii="Times New Roman" w:hAnsi="Times New Roman" w:cs="Times New Roman"/>
          <w:sz w:val="28"/>
          <w:szCs w:val="28"/>
          <w:lang w:val="en-ZA"/>
        </w:rPr>
        <w:t xml:space="preserve"> in the relief sought </w:t>
      </w:r>
      <w:r w:rsidR="00B26097">
        <w:rPr>
          <w:rFonts w:ascii="Times New Roman" w:hAnsi="Times New Roman" w:cs="Times New Roman"/>
          <w:sz w:val="28"/>
          <w:szCs w:val="28"/>
          <w:lang w:val="en-ZA"/>
        </w:rPr>
        <w:t>(</w:t>
      </w:r>
      <w:r w:rsidR="00B26097">
        <w:rPr>
          <w:rFonts w:ascii="Times New Roman" w:hAnsi="Times New Roman" w:cs="Times New Roman"/>
          <w:b/>
          <w:bCs/>
          <w:sz w:val="28"/>
          <w:szCs w:val="28"/>
          <w:lang w:val="en-ZA"/>
        </w:rPr>
        <w:t xml:space="preserve">Herbstein &amp; Van Winsen </w:t>
      </w:r>
      <w:r w:rsidR="00B26097" w:rsidRPr="000A20C5">
        <w:rPr>
          <w:rFonts w:ascii="Times New Roman" w:hAnsi="Times New Roman" w:cs="Times New Roman"/>
          <w:i/>
          <w:iCs/>
          <w:sz w:val="28"/>
          <w:szCs w:val="28"/>
          <w:lang w:val="en-ZA"/>
        </w:rPr>
        <w:t xml:space="preserve">The Civil Practice of the High Courts of South Africa (2009) 5 ed. Vol. 1 </w:t>
      </w:r>
      <w:r w:rsidR="00B26097" w:rsidRPr="0078794E">
        <w:rPr>
          <w:rFonts w:ascii="Times New Roman" w:hAnsi="Times New Roman" w:cs="Times New Roman"/>
          <w:sz w:val="28"/>
          <w:szCs w:val="28"/>
          <w:lang w:val="en-ZA"/>
        </w:rPr>
        <w:t>at 143).</w:t>
      </w:r>
    </w:p>
    <w:p w14:paraId="35478C17" w14:textId="77777777" w:rsidR="00B26097" w:rsidRDefault="00B26097" w:rsidP="000164EE">
      <w:pPr>
        <w:spacing w:after="0" w:line="360" w:lineRule="auto"/>
        <w:jc w:val="both"/>
        <w:rPr>
          <w:rFonts w:ascii="Times New Roman" w:hAnsi="Times New Roman" w:cs="Times New Roman"/>
          <w:sz w:val="28"/>
          <w:szCs w:val="28"/>
          <w:lang w:val="en-ZA"/>
        </w:rPr>
      </w:pPr>
    </w:p>
    <w:p w14:paraId="07115B76" w14:textId="770DAD82" w:rsidR="00607848" w:rsidRDefault="00B26097" w:rsidP="0060784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 xml:space="preserve">In the present matter the </w:t>
      </w:r>
      <w:r w:rsidR="00A122B3">
        <w:rPr>
          <w:rFonts w:ascii="Times New Roman" w:hAnsi="Times New Roman" w:cs="Times New Roman"/>
          <w:sz w:val="28"/>
          <w:szCs w:val="28"/>
          <w:lang w:val="en-ZA"/>
        </w:rPr>
        <w:t>2</w:t>
      </w:r>
      <w:r w:rsidR="00A122B3" w:rsidRPr="00A122B3">
        <w:rPr>
          <w:rFonts w:ascii="Times New Roman" w:hAnsi="Times New Roman" w:cs="Times New Roman"/>
          <w:sz w:val="28"/>
          <w:szCs w:val="28"/>
          <w:vertAlign w:val="superscript"/>
          <w:lang w:val="en-ZA"/>
        </w:rPr>
        <w:t>nd</w:t>
      </w:r>
      <w:r w:rsidR="00A122B3">
        <w:rPr>
          <w:rFonts w:ascii="Times New Roman" w:hAnsi="Times New Roman" w:cs="Times New Roman"/>
          <w:sz w:val="28"/>
          <w:szCs w:val="28"/>
          <w:lang w:val="en-ZA"/>
        </w:rPr>
        <w:t xml:space="preserve"> applicant</w:t>
      </w:r>
      <w:r>
        <w:rPr>
          <w:rFonts w:ascii="Times New Roman" w:hAnsi="Times New Roman" w:cs="Times New Roman"/>
          <w:sz w:val="28"/>
          <w:szCs w:val="28"/>
          <w:lang w:val="en-ZA"/>
        </w:rPr>
        <w:t xml:space="preserve"> depose</w:t>
      </w:r>
      <w:r w:rsidR="00A122B3">
        <w:rPr>
          <w:rFonts w:ascii="Times New Roman" w:hAnsi="Times New Roman" w:cs="Times New Roman"/>
          <w:sz w:val="28"/>
          <w:szCs w:val="28"/>
          <w:lang w:val="en-ZA"/>
        </w:rPr>
        <w:t>d</w:t>
      </w:r>
      <w:r>
        <w:rPr>
          <w:rFonts w:ascii="Times New Roman" w:hAnsi="Times New Roman" w:cs="Times New Roman"/>
          <w:sz w:val="28"/>
          <w:szCs w:val="28"/>
          <w:lang w:val="en-ZA"/>
        </w:rPr>
        <w:t xml:space="preserve"> to </w:t>
      </w:r>
      <w:r w:rsidR="00E8625B">
        <w:rPr>
          <w:rFonts w:ascii="Times New Roman" w:hAnsi="Times New Roman" w:cs="Times New Roman"/>
          <w:sz w:val="28"/>
          <w:szCs w:val="28"/>
          <w:lang w:val="en-ZA"/>
        </w:rPr>
        <w:t>the</w:t>
      </w:r>
      <w:r w:rsidR="00A122B3">
        <w:rPr>
          <w:rFonts w:ascii="Times New Roman" w:hAnsi="Times New Roman" w:cs="Times New Roman"/>
          <w:sz w:val="28"/>
          <w:szCs w:val="28"/>
          <w:lang w:val="en-ZA"/>
        </w:rPr>
        <w:t xml:space="preserve"> founding </w:t>
      </w:r>
      <w:r w:rsidR="00464591">
        <w:rPr>
          <w:rFonts w:ascii="Times New Roman" w:hAnsi="Times New Roman" w:cs="Times New Roman"/>
          <w:sz w:val="28"/>
          <w:szCs w:val="28"/>
          <w:lang w:val="en-ZA"/>
        </w:rPr>
        <w:t>affidavit as</w:t>
      </w:r>
      <w:r>
        <w:rPr>
          <w:rFonts w:ascii="Times New Roman" w:hAnsi="Times New Roman" w:cs="Times New Roman"/>
          <w:sz w:val="28"/>
          <w:szCs w:val="28"/>
          <w:lang w:val="en-ZA"/>
        </w:rPr>
        <w:t xml:space="preserve"> the director of the 3</w:t>
      </w:r>
      <w:r w:rsidRPr="00B26097">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whose funds were deposited into the bank account of the 2</w:t>
      </w:r>
      <w:r w:rsidRPr="00B26097">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(its other director) following the rendering of services by the 3</w:t>
      </w:r>
      <w:r w:rsidRPr="00B26097">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to Platinum Credited Limited.  Inasmuch as the account which is frozen belongs to the 1</w:t>
      </w:r>
      <w:r w:rsidRPr="00B2609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 my considered view is that the 3</w:t>
      </w:r>
      <w:r w:rsidRPr="00B26097">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applicant has a direct and substantial interest</w:t>
      </w:r>
      <w:r w:rsidR="00A122B3">
        <w:rPr>
          <w:rFonts w:ascii="Times New Roman" w:hAnsi="Times New Roman" w:cs="Times New Roman"/>
          <w:sz w:val="28"/>
          <w:szCs w:val="28"/>
          <w:lang w:val="en-ZA"/>
        </w:rPr>
        <w:t xml:space="preserve"> in the outcome of this matter as it alleges the funds were meant for it</w:t>
      </w:r>
      <w:r>
        <w:rPr>
          <w:rFonts w:ascii="Times New Roman" w:hAnsi="Times New Roman" w:cs="Times New Roman"/>
          <w:sz w:val="28"/>
          <w:szCs w:val="28"/>
          <w:lang w:val="en-ZA"/>
        </w:rPr>
        <w:t>.  As I see it</w:t>
      </w:r>
      <w:r w:rsidR="00A122B3">
        <w:rPr>
          <w:rFonts w:ascii="Times New Roman" w:hAnsi="Times New Roman" w:cs="Times New Roman"/>
          <w:sz w:val="28"/>
          <w:szCs w:val="28"/>
          <w:lang w:val="en-ZA"/>
        </w:rPr>
        <w:t>,</w:t>
      </w:r>
      <w:r>
        <w:rPr>
          <w:rFonts w:ascii="Times New Roman" w:hAnsi="Times New Roman" w:cs="Times New Roman"/>
          <w:sz w:val="28"/>
          <w:szCs w:val="28"/>
          <w:lang w:val="en-ZA"/>
        </w:rPr>
        <w:t xml:space="preserve"> the only person who should not have been joined </w:t>
      </w:r>
      <w:r w:rsidR="00A122B3">
        <w:rPr>
          <w:rFonts w:ascii="Times New Roman" w:hAnsi="Times New Roman" w:cs="Times New Roman"/>
          <w:sz w:val="28"/>
          <w:szCs w:val="28"/>
          <w:lang w:val="en-ZA"/>
        </w:rPr>
        <w:t>as a party in this matter is</w:t>
      </w:r>
      <w:r>
        <w:rPr>
          <w:rFonts w:ascii="Times New Roman" w:hAnsi="Times New Roman" w:cs="Times New Roman"/>
          <w:sz w:val="28"/>
          <w:szCs w:val="28"/>
          <w:lang w:val="en-ZA"/>
        </w:rPr>
        <w:t xml:space="preserve"> the </w:t>
      </w:r>
      <w:r w:rsidR="00A122B3">
        <w:rPr>
          <w:rFonts w:ascii="Times New Roman" w:hAnsi="Times New Roman" w:cs="Times New Roman"/>
          <w:sz w:val="28"/>
          <w:szCs w:val="28"/>
          <w:lang w:val="en-ZA"/>
        </w:rPr>
        <w:t>2</w:t>
      </w:r>
      <w:r w:rsidR="00A122B3" w:rsidRPr="00A122B3">
        <w:rPr>
          <w:rFonts w:ascii="Times New Roman" w:hAnsi="Times New Roman" w:cs="Times New Roman"/>
          <w:sz w:val="28"/>
          <w:szCs w:val="28"/>
          <w:vertAlign w:val="superscript"/>
          <w:lang w:val="en-ZA"/>
        </w:rPr>
        <w:t>nd</w:t>
      </w:r>
      <w:r w:rsidR="00A122B3">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applicant </w:t>
      </w:r>
      <w:r w:rsidR="00A122B3">
        <w:rPr>
          <w:rFonts w:ascii="Times New Roman" w:hAnsi="Times New Roman" w:cs="Times New Roman"/>
          <w:sz w:val="28"/>
          <w:szCs w:val="28"/>
          <w:lang w:val="en-ZA"/>
        </w:rPr>
        <w:t xml:space="preserve">as he </w:t>
      </w:r>
      <w:r w:rsidR="00607848">
        <w:rPr>
          <w:rFonts w:ascii="Times New Roman" w:hAnsi="Times New Roman" w:cs="Times New Roman"/>
          <w:sz w:val="28"/>
          <w:szCs w:val="28"/>
          <w:lang w:val="en-ZA"/>
        </w:rPr>
        <w:t>does not have a direct and substantial interest in the outcome of the matter</w:t>
      </w:r>
      <w:r w:rsidR="00041FEC">
        <w:rPr>
          <w:rFonts w:ascii="Times New Roman" w:hAnsi="Times New Roman" w:cs="Times New Roman"/>
          <w:sz w:val="28"/>
          <w:szCs w:val="28"/>
          <w:lang w:val="en-ZA"/>
        </w:rPr>
        <w:t>, he is merely a director of the 3</w:t>
      </w:r>
      <w:r w:rsidR="00041FEC" w:rsidRPr="00041FEC">
        <w:rPr>
          <w:rFonts w:ascii="Times New Roman" w:hAnsi="Times New Roman" w:cs="Times New Roman"/>
          <w:sz w:val="28"/>
          <w:szCs w:val="28"/>
          <w:vertAlign w:val="superscript"/>
          <w:lang w:val="en-ZA"/>
        </w:rPr>
        <w:t>rd</w:t>
      </w:r>
      <w:r w:rsidR="00041FEC">
        <w:rPr>
          <w:rFonts w:ascii="Times New Roman" w:hAnsi="Times New Roman" w:cs="Times New Roman"/>
          <w:sz w:val="28"/>
          <w:szCs w:val="28"/>
          <w:lang w:val="en-ZA"/>
        </w:rPr>
        <w:t xml:space="preserve"> applicant</w:t>
      </w:r>
      <w:r w:rsidR="00607848">
        <w:rPr>
          <w:rFonts w:ascii="Times New Roman" w:hAnsi="Times New Roman" w:cs="Times New Roman"/>
          <w:sz w:val="28"/>
          <w:szCs w:val="28"/>
          <w:lang w:val="en-ZA"/>
        </w:rPr>
        <w:t xml:space="preserve">.  The point of lack of </w:t>
      </w:r>
      <w:r w:rsidR="00607848">
        <w:rPr>
          <w:rFonts w:ascii="Times New Roman" w:hAnsi="Times New Roman" w:cs="Times New Roman"/>
          <w:i/>
          <w:iCs/>
          <w:sz w:val="28"/>
          <w:szCs w:val="28"/>
          <w:lang w:val="en-ZA"/>
        </w:rPr>
        <w:t xml:space="preserve">locus standi </w:t>
      </w:r>
      <w:r w:rsidR="00607848">
        <w:rPr>
          <w:rFonts w:ascii="Times New Roman" w:hAnsi="Times New Roman" w:cs="Times New Roman"/>
          <w:sz w:val="28"/>
          <w:szCs w:val="28"/>
          <w:lang w:val="en-ZA"/>
        </w:rPr>
        <w:t xml:space="preserve">in relation to the </w:t>
      </w:r>
      <w:r w:rsidR="00041FEC">
        <w:rPr>
          <w:rFonts w:ascii="Times New Roman" w:hAnsi="Times New Roman" w:cs="Times New Roman"/>
          <w:sz w:val="28"/>
          <w:szCs w:val="28"/>
          <w:lang w:val="en-ZA"/>
        </w:rPr>
        <w:t>2</w:t>
      </w:r>
      <w:r w:rsidR="00041FEC" w:rsidRPr="00041FEC">
        <w:rPr>
          <w:rFonts w:ascii="Times New Roman" w:hAnsi="Times New Roman" w:cs="Times New Roman"/>
          <w:sz w:val="28"/>
          <w:szCs w:val="28"/>
          <w:vertAlign w:val="superscript"/>
          <w:lang w:val="en-ZA"/>
        </w:rPr>
        <w:t>nd</w:t>
      </w:r>
      <w:r w:rsidR="00041FEC">
        <w:rPr>
          <w:rFonts w:ascii="Times New Roman" w:hAnsi="Times New Roman" w:cs="Times New Roman"/>
          <w:sz w:val="28"/>
          <w:szCs w:val="28"/>
          <w:lang w:val="en-ZA"/>
        </w:rPr>
        <w:t xml:space="preserve"> applicant</w:t>
      </w:r>
      <w:r w:rsidR="00607848">
        <w:rPr>
          <w:rFonts w:ascii="Times New Roman" w:hAnsi="Times New Roman" w:cs="Times New Roman"/>
          <w:sz w:val="28"/>
          <w:szCs w:val="28"/>
          <w:lang w:val="en-ZA"/>
        </w:rPr>
        <w:t xml:space="preserve"> has been correctly taken.</w:t>
      </w:r>
    </w:p>
    <w:p w14:paraId="396DCF6B" w14:textId="77777777" w:rsidR="00607848" w:rsidRDefault="00607848" w:rsidP="00607848">
      <w:pPr>
        <w:spacing w:after="0" w:line="360" w:lineRule="auto"/>
        <w:ind w:left="720" w:hanging="720"/>
        <w:jc w:val="both"/>
        <w:rPr>
          <w:rFonts w:ascii="Times New Roman" w:hAnsi="Times New Roman" w:cs="Times New Roman"/>
          <w:sz w:val="28"/>
          <w:szCs w:val="28"/>
          <w:lang w:val="en-ZA"/>
        </w:rPr>
      </w:pPr>
    </w:p>
    <w:p w14:paraId="1B8AA67B" w14:textId="77777777" w:rsidR="00607848" w:rsidRPr="00607848" w:rsidRDefault="00607848" w:rsidP="0060784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sidRPr="000E1873">
        <w:rPr>
          <w:rFonts w:ascii="Times New Roman" w:hAnsi="Times New Roman" w:cs="Times New Roman"/>
          <w:b/>
          <w:bCs/>
          <w:sz w:val="28"/>
          <w:szCs w:val="28"/>
          <w:lang w:val="en-ZA"/>
        </w:rPr>
        <w:tab/>
        <w:t>(ii)</w:t>
      </w:r>
      <w:r w:rsidRPr="001D4F09">
        <w:rPr>
          <w:rFonts w:ascii="Times New Roman" w:hAnsi="Times New Roman" w:cs="Times New Roman"/>
          <w:b/>
          <w:bCs/>
          <w:sz w:val="28"/>
          <w:szCs w:val="28"/>
          <w:lang w:val="en-ZA"/>
        </w:rPr>
        <w:tab/>
        <w:t>The merits</w:t>
      </w:r>
    </w:p>
    <w:p w14:paraId="70E03E3E" w14:textId="54EC9720" w:rsidR="00DB7D4F" w:rsidRDefault="00607848" w:rsidP="000A20C5">
      <w:pPr>
        <w:spacing w:after="0" w:line="360" w:lineRule="auto"/>
        <w:ind w:left="737"/>
        <w:jc w:val="both"/>
        <w:rPr>
          <w:rFonts w:ascii="Times New Roman" w:hAnsi="Times New Roman" w:cs="Times New Roman"/>
          <w:sz w:val="28"/>
          <w:szCs w:val="28"/>
          <w:lang w:val="en-ZA"/>
        </w:rPr>
      </w:pPr>
      <w:r>
        <w:rPr>
          <w:rFonts w:ascii="Times New Roman" w:hAnsi="Times New Roman" w:cs="Times New Roman"/>
          <w:sz w:val="28"/>
          <w:szCs w:val="28"/>
          <w:lang w:val="en-ZA"/>
        </w:rPr>
        <w:t>As already stated, the respondent relies on a number of legislative instruments to support its defence</w:t>
      </w:r>
      <w:r w:rsidR="00D76328">
        <w:rPr>
          <w:rFonts w:ascii="Times New Roman" w:hAnsi="Times New Roman" w:cs="Times New Roman"/>
          <w:sz w:val="28"/>
          <w:szCs w:val="28"/>
          <w:lang w:val="en-ZA"/>
        </w:rPr>
        <w:t xml:space="preserve"> that it was entitled to put in place what it calls “a temporary freeze” of the 1</w:t>
      </w:r>
      <w:r w:rsidR="00D76328" w:rsidRPr="00D76328">
        <w:rPr>
          <w:rFonts w:ascii="Times New Roman" w:hAnsi="Times New Roman" w:cs="Times New Roman"/>
          <w:sz w:val="28"/>
          <w:szCs w:val="28"/>
          <w:vertAlign w:val="superscript"/>
          <w:lang w:val="en-ZA"/>
        </w:rPr>
        <w:t>st</w:t>
      </w:r>
      <w:r w:rsidR="00D76328">
        <w:rPr>
          <w:rFonts w:ascii="Times New Roman" w:hAnsi="Times New Roman" w:cs="Times New Roman"/>
          <w:sz w:val="28"/>
          <w:szCs w:val="28"/>
          <w:lang w:val="en-ZA"/>
        </w:rPr>
        <w:t xml:space="preserve"> applicant’s bank account.  It is apposite therefore to quote the legal provisions in terms of which the financial institution must act when it sees suspicious transacti</w:t>
      </w:r>
      <w:r w:rsidR="00DB7D4F">
        <w:rPr>
          <w:rFonts w:ascii="Times New Roman" w:hAnsi="Times New Roman" w:cs="Times New Roman"/>
          <w:sz w:val="28"/>
          <w:szCs w:val="28"/>
          <w:lang w:val="en-ZA"/>
        </w:rPr>
        <w:t xml:space="preserve">ons.  </w:t>
      </w:r>
      <w:r w:rsidR="00FD393C">
        <w:rPr>
          <w:rFonts w:ascii="Times New Roman" w:hAnsi="Times New Roman" w:cs="Times New Roman"/>
          <w:sz w:val="28"/>
          <w:szCs w:val="28"/>
          <w:lang w:val="en-ZA"/>
        </w:rPr>
        <w:t>‘</w:t>
      </w:r>
      <w:r w:rsidR="00DB7D4F">
        <w:rPr>
          <w:rFonts w:ascii="Times New Roman" w:hAnsi="Times New Roman" w:cs="Times New Roman"/>
          <w:sz w:val="28"/>
          <w:szCs w:val="28"/>
          <w:lang w:val="en-ZA"/>
        </w:rPr>
        <w:t>Suspicious transactions</w:t>
      </w:r>
      <w:r w:rsidR="00FD393C">
        <w:rPr>
          <w:rFonts w:ascii="Times New Roman" w:hAnsi="Times New Roman" w:cs="Times New Roman"/>
          <w:sz w:val="28"/>
          <w:szCs w:val="28"/>
          <w:lang w:val="en-ZA"/>
        </w:rPr>
        <w:t>’</w:t>
      </w:r>
      <w:r w:rsidR="00DB7D4F">
        <w:rPr>
          <w:rFonts w:ascii="Times New Roman" w:hAnsi="Times New Roman" w:cs="Times New Roman"/>
          <w:sz w:val="28"/>
          <w:szCs w:val="28"/>
          <w:lang w:val="en-ZA"/>
        </w:rPr>
        <w:t xml:space="preserve"> have been defined in Guideline 2 of the Financial Institutions (Anti-Money Laundering) Guidelines, 2000 as “a transaction which is inconsistent with a customer’s </w:t>
      </w:r>
      <w:r w:rsidR="00DB7D4F">
        <w:rPr>
          <w:rFonts w:ascii="Times New Roman" w:hAnsi="Times New Roman" w:cs="Times New Roman"/>
          <w:sz w:val="28"/>
          <w:szCs w:val="28"/>
          <w:lang w:val="en-ZA"/>
        </w:rPr>
        <w:lastRenderedPageBreak/>
        <w:t xml:space="preserve">known legitimate business or personal activities or with the normal business for that type of account.”  This Guideline should be read with Guideline 11 of the same Guidelines which imposes </w:t>
      </w:r>
      <w:r w:rsidR="000E1873">
        <w:rPr>
          <w:rFonts w:ascii="Times New Roman" w:hAnsi="Times New Roman" w:cs="Times New Roman"/>
          <w:sz w:val="28"/>
          <w:szCs w:val="28"/>
          <w:lang w:val="en-ZA"/>
        </w:rPr>
        <w:t>obligation on</w:t>
      </w:r>
      <w:r w:rsidR="00DB7D4F">
        <w:rPr>
          <w:rFonts w:ascii="Times New Roman" w:hAnsi="Times New Roman" w:cs="Times New Roman"/>
          <w:sz w:val="28"/>
          <w:szCs w:val="28"/>
          <w:lang w:val="en-ZA"/>
        </w:rPr>
        <w:t xml:space="preserve"> the financial institution on suspecting that any transaction by a customer may form part of a criminal activity or otherwise constitutes a suspicious transaction, to report such suspicious transaction to the law enforcement authorities and the Central Bank.</w:t>
      </w:r>
    </w:p>
    <w:p w14:paraId="3133DFF8" w14:textId="77777777" w:rsidR="00DB7D4F" w:rsidRDefault="00DB7D4F" w:rsidP="00DB7D4F">
      <w:pPr>
        <w:spacing w:after="0" w:line="360" w:lineRule="auto"/>
        <w:jc w:val="both"/>
        <w:rPr>
          <w:rFonts w:ascii="Times New Roman" w:hAnsi="Times New Roman" w:cs="Times New Roman"/>
          <w:sz w:val="28"/>
          <w:szCs w:val="28"/>
          <w:lang w:val="en-ZA"/>
        </w:rPr>
      </w:pPr>
    </w:p>
    <w:p w14:paraId="02C99AC9" w14:textId="77777777" w:rsidR="007A6C37" w:rsidRDefault="007A6C37" w:rsidP="007A6C3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In terms of Guideline 7 of Money Laundering (Accountable Institutions) Guidelines 2013:</w:t>
      </w:r>
      <w:r w:rsidR="00DB7D4F">
        <w:rPr>
          <w:rFonts w:ascii="Times New Roman" w:hAnsi="Times New Roman" w:cs="Times New Roman"/>
          <w:sz w:val="28"/>
          <w:szCs w:val="28"/>
          <w:lang w:val="en-ZA"/>
        </w:rPr>
        <w:t xml:space="preserve"> </w:t>
      </w:r>
      <w:r w:rsidR="00D76328">
        <w:rPr>
          <w:rFonts w:ascii="Times New Roman" w:hAnsi="Times New Roman" w:cs="Times New Roman"/>
          <w:sz w:val="28"/>
          <w:szCs w:val="28"/>
          <w:lang w:val="en-ZA"/>
        </w:rPr>
        <w:t xml:space="preserve"> </w:t>
      </w:r>
    </w:p>
    <w:p w14:paraId="43E9D5E3" w14:textId="77777777" w:rsidR="007A6C37" w:rsidRDefault="007A6C37" w:rsidP="007A6C37">
      <w:pPr>
        <w:spacing w:after="0" w:line="360" w:lineRule="auto"/>
        <w:ind w:left="720" w:hanging="720"/>
        <w:jc w:val="both"/>
        <w:rPr>
          <w:rFonts w:ascii="Times New Roman" w:hAnsi="Times New Roman" w:cs="Times New Roman"/>
          <w:sz w:val="28"/>
          <w:szCs w:val="28"/>
          <w:lang w:val="en-ZA"/>
        </w:rPr>
      </w:pPr>
    </w:p>
    <w:p w14:paraId="0E8E7280" w14:textId="77777777" w:rsidR="007A6C37" w:rsidRDefault="007A6C37" w:rsidP="007A6C37">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“An accountable institution shall – </w:t>
      </w:r>
    </w:p>
    <w:p w14:paraId="5542FD9B" w14:textId="77777777" w:rsidR="007A6C37" w:rsidRDefault="007A6C37" w:rsidP="007A6C37">
      <w:pPr>
        <w:spacing w:after="0" w:line="360" w:lineRule="auto"/>
        <w:ind w:left="2160" w:right="1008" w:hanging="720"/>
        <w:jc w:val="both"/>
        <w:rPr>
          <w:rFonts w:ascii="Times New Roman" w:hAnsi="Times New Roman" w:cs="Times New Roman"/>
          <w:i/>
          <w:iCs/>
          <w:sz w:val="24"/>
          <w:szCs w:val="24"/>
          <w:lang w:val="en-ZA"/>
        </w:rPr>
      </w:pPr>
    </w:p>
    <w:p w14:paraId="3EDAC141" w14:textId="1EF48BC5" w:rsidR="007A6C37" w:rsidRPr="007A6C37" w:rsidRDefault="007A6C37" w:rsidP="007A6C37">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Obtain a sound knowledge of the purpose for which the customer or client is seekin</w:t>
      </w:r>
      <w:r w:rsidR="00610435">
        <w:rPr>
          <w:rFonts w:ascii="Times New Roman" w:hAnsi="Times New Roman" w:cs="Times New Roman"/>
          <w:i/>
          <w:iCs/>
          <w:sz w:val="24"/>
          <w:szCs w:val="24"/>
          <w:lang w:val="en-ZA"/>
        </w:rPr>
        <w:t>g</w:t>
      </w:r>
      <w:r>
        <w:rPr>
          <w:rFonts w:ascii="Times New Roman" w:hAnsi="Times New Roman" w:cs="Times New Roman"/>
          <w:i/>
          <w:iCs/>
          <w:sz w:val="24"/>
          <w:szCs w:val="24"/>
          <w:lang w:val="en-ZA"/>
        </w:rPr>
        <w:t xml:space="preserve"> a business relationship with the accountable institution; and </w:t>
      </w:r>
    </w:p>
    <w:p w14:paraId="556ABA71" w14:textId="77777777" w:rsidR="007A6C37" w:rsidRPr="007A6C37" w:rsidRDefault="007A6C37" w:rsidP="007A6C37">
      <w:pPr>
        <w:pStyle w:val="ListParagraph"/>
        <w:spacing w:after="0" w:line="360" w:lineRule="auto"/>
        <w:ind w:left="1800" w:right="1008"/>
        <w:jc w:val="both"/>
        <w:rPr>
          <w:rFonts w:ascii="Times New Roman" w:hAnsi="Times New Roman" w:cs="Times New Roman"/>
          <w:sz w:val="28"/>
          <w:szCs w:val="28"/>
          <w:lang w:val="en-ZA"/>
        </w:rPr>
      </w:pPr>
    </w:p>
    <w:p w14:paraId="586A6E09" w14:textId="03314900" w:rsidR="00542BCC" w:rsidRDefault="007A6C37" w:rsidP="007A6C37">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Report any dealing which appears not to fit the knowledge base for which the business relationship was established.”</w:t>
      </w:r>
      <w:r w:rsidR="00607848" w:rsidRPr="007A6C37">
        <w:rPr>
          <w:rFonts w:ascii="Times New Roman" w:hAnsi="Times New Roman" w:cs="Times New Roman"/>
          <w:sz w:val="28"/>
          <w:szCs w:val="28"/>
          <w:lang w:val="en-ZA"/>
        </w:rPr>
        <w:t xml:space="preserve"> </w:t>
      </w:r>
    </w:p>
    <w:p w14:paraId="2F4C9652" w14:textId="77777777" w:rsidR="00DA15FF" w:rsidRPr="00DA15FF" w:rsidRDefault="00DA15FF" w:rsidP="00DA15FF">
      <w:pPr>
        <w:pStyle w:val="ListParagraph"/>
        <w:rPr>
          <w:rFonts w:ascii="Times New Roman" w:hAnsi="Times New Roman" w:cs="Times New Roman"/>
          <w:sz w:val="28"/>
          <w:szCs w:val="28"/>
          <w:lang w:val="en-ZA"/>
        </w:rPr>
      </w:pPr>
    </w:p>
    <w:p w14:paraId="14CA4883" w14:textId="6E32AB8F" w:rsidR="00DA15FF" w:rsidRDefault="00DA15FF" w:rsidP="006A160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t xml:space="preserve">To be read </w:t>
      </w:r>
      <w:r w:rsidR="006A160D">
        <w:rPr>
          <w:rFonts w:ascii="Times New Roman" w:hAnsi="Times New Roman" w:cs="Times New Roman"/>
          <w:sz w:val="28"/>
          <w:szCs w:val="28"/>
          <w:lang w:val="en-ZA"/>
        </w:rPr>
        <w:t xml:space="preserve">with this Guideline is Guideline 19 of the same Money Laundering Guidelines (Accountable Institutions) Guidelines 2013 </w:t>
      </w:r>
      <w:r w:rsidR="00A938A9">
        <w:rPr>
          <w:rFonts w:ascii="Times New Roman" w:hAnsi="Times New Roman" w:cs="Times New Roman"/>
          <w:sz w:val="28"/>
          <w:szCs w:val="28"/>
          <w:lang w:val="en-ZA"/>
        </w:rPr>
        <w:t xml:space="preserve">which </w:t>
      </w:r>
      <w:r w:rsidR="006A160D">
        <w:rPr>
          <w:rFonts w:ascii="Times New Roman" w:hAnsi="Times New Roman" w:cs="Times New Roman"/>
          <w:sz w:val="28"/>
          <w:szCs w:val="28"/>
          <w:lang w:val="en-ZA"/>
        </w:rPr>
        <w:t>imposes an obligation on the financial institution to report suspicions of money laundering to Financial Intelligence Unit.  These reporting requirements are also provided in Section 18 of the Money Laundering and Proceeds of Crime Act, 2008</w:t>
      </w:r>
      <w:r w:rsidR="00A938A9">
        <w:rPr>
          <w:rFonts w:ascii="Times New Roman" w:hAnsi="Times New Roman" w:cs="Times New Roman"/>
          <w:sz w:val="28"/>
          <w:szCs w:val="28"/>
          <w:lang w:val="en-ZA"/>
        </w:rPr>
        <w:t xml:space="preserve"> as amended</w:t>
      </w:r>
      <w:r w:rsidR="006A160D">
        <w:rPr>
          <w:rFonts w:ascii="Times New Roman" w:hAnsi="Times New Roman" w:cs="Times New Roman"/>
          <w:sz w:val="28"/>
          <w:szCs w:val="28"/>
          <w:lang w:val="en-ZA"/>
        </w:rPr>
        <w:t>.</w:t>
      </w:r>
    </w:p>
    <w:p w14:paraId="2A4C58A0" w14:textId="4DF0AB25" w:rsidR="006A160D" w:rsidRDefault="006A160D" w:rsidP="006A160D">
      <w:pPr>
        <w:spacing w:after="0" w:line="360" w:lineRule="auto"/>
        <w:ind w:left="720" w:hanging="720"/>
        <w:jc w:val="both"/>
        <w:rPr>
          <w:rFonts w:ascii="Times New Roman" w:hAnsi="Times New Roman" w:cs="Times New Roman"/>
          <w:sz w:val="28"/>
          <w:szCs w:val="28"/>
          <w:lang w:val="en-ZA"/>
        </w:rPr>
      </w:pPr>
    </w:p>
    <w:p w14:paraId="24E28D0D" w14:textId="1B3FF90B" w:rsidR="006A160D" w:rsidRPr="0048454B" w:rsidRDefault="006A160D" w:rsidP="006A160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[16]</w:t>
      </w:r>
      <w:r>
        <w:rPr>
          <w:rFonts w:ascii="Times New Roman" w:hAnsi="Times New Roman" w:cs="Times New Roman"/>
          <w:sz w:val="28"/>
          <w:szCs w:val="28"/>
          <w:lang w:val="en-ZA"/>
        </w:rPr>
        <w:tab/>
        <w:t xml:space="preserve">Upon reading of these provisions </w:t>
      </w:r>
      <w:r w:rsidR="0048454B">
        <w:rPr>
          <w:rFonts w:ascii="Times New Roman" w:hAnsi="Times New Roman" w:cs="Times New Roman"/>
          <w:sz w:val="28"/>
          <w:szCs w:val="28"/>
          <w:lang w:val="en-ZA"/>
        </w:rPr>
        <w:t>I find</w:t>
      </w:r>
      <w:r>
        <w:rPr>
          <w:rFonts w:ascii="Times New Roman" w:hAnsi="Times New Roman" w:cs="Times New Roman"/>
          <w:sz w:val="28"/>
          <w:szCs w:val="28"/>
          <w:lang w:val="en-ZA"/>
        </w:rPr>
        <w:t xml:space="preserve"> nowhere where the bank is empowered to freeze </w:t>
      </w:r>
      <w:r w:rsidR="001A50C6">
        <w:rPr>
          <w:rFonts w:ascii="Times New Roman" w:hAnsi="Times New Roman" w:cs="Times New Roman"/>
          <w:sz w:val="28"/>
          <w:szCs w:val="28"/>
          <w:lang w:val="en-ZA"/>
        </w:rPr>
        <w:t>a client’s bank account on suspecting money laundering.  What all these provisions say is that the bank must report either to the Central Bank, law enforcement authorities or to the Financial Intelligence Unit.  It would be a different story if the respondent is saying it is empowered by the contract between itself and the 1</w:t>
      </w:r>
      <w:r w:rsidR="001A50C6" w:rsidRPr="001A50C6">
        <w:rPr>
          <w:rFonts w:ascii="Times New Roman" w:hAnsi="Times New Roman" w:cs="Times New Roman"/>
          <w:sz w:val="28"/>
          <w:szCs w:val="28"/>
          <w:vertAlign w:val="superscript"/>
          <w:lang w:val="en-ZA"/>
        </w:rPr>
        <w:t>st</w:t>
      </w:r>
      <w:r w:rsidR="001A50C6">
        <w:rPr>
          <w:rFonts w:ascii="Times New Roman" w:hAnsi="Times New Roman" w:cs="Times New Roman"/>
          <w:sz w:val="28"/>
          <w:szCs w:val="28"/>
          <w:lang w:val="en-ZA"/>
        </w:rPr>
        <w:t xml:space="preserve"> applicant to freeze her account on noticing suspicious transactions, but I did not hear the respondent’s counsel to be arguing along that line.  I found a very persuasive and apposite remarks, when dealing with </w:t>
      </w:r>
      <w:r w:rsidR="001A50C6" w:rsidRPr="0048454B">
        <w:rPr>
          <w:rFonts w:ascii="Times New Roman" w:hAnsi="Times New Roman" w:cs="Times New Roman"/>
          <w:sz w:val="28"/>
          <w:szCs w:val="28"/>
          <w:lang w:val="en-ZA"/>
        </w:rPr>
        <w:t>similar</w:t>
      </w:r>
      <w:r w:rsidR="0048454B">
        <w:rPr>
          <w:rFonts w:ascii="Times New Roman" w:hAnsi="Times New Roman" w:cs="Times New Roman"/>
          <w:sz w:val="28"/>
          <w:szCs w:val="28"/>
          <w:lang w:val="en-ZA"/>
        </w:rPr>
        <w:t xml:space="preserve"> argument in the context of the South African legislation (Financial Intelligence Centre Act 38 of 2008) which was enacted to fight money laundering and other crimes</w:t>
      </w:r>
      <w:r w:rsidR="00CA4488">
        <w:rPr>
          <w:rFonts w:ascii="Times New Roman" w:hAnsi="Times New Roman" w:cs="Times New Roman"/>
          <w:sz w:val="28"/>
          <w:szCs w:val="28"/>
          <w:lang w:val="en-ZA"/>
        </w:rPr>
        <w:t>, which imposes similar obligations on financial institutions</w:t>
      </w:r>
      <w:r w:rsidR="0048454B">
        <w:rPr>
          <w:rFonts w:ascii="Times New Roman" w:hAnsi="Times New Roman" w:cs="Times New Roman"/>
          <w:sz w:val="28"/>
          <w:szCs w:val="28"/>
          <w:lang w:val="en-ZA"/>
        </w:rPr>
        <w:t xml:space="preserve">. The remarks were made in the matter of </w:t>
      </w:r>
      <w:r w:rsidR="001A50C6" w:rsidRPr="00C21C10">
        <w:rPr>
          <w:rFonts w:ascii="Times New Roman" w:hAnsi="Times New Roman" w:cs="Times New Roman"/>
          <w:b/>
          <w:bCs/>
          <w:sz w:val="28"/>
          <w:szCs w:val="28"/>
          <w:lang w:val="en-ZA"/>
        </w:rPr>
        <w:t xml:space="preserve">South </w:t>
      </w:r>
      <w:r w:rsidR="001A50C6" w:rsidRPr="00AB1053">
        <w:rPr>
          <w:rFonts w:ascii="Times New Roman" w:hAnsi="Times New Roman" w:cs="Times New Roman"/>
          <w:b/>
          <w:bCs/>
          <w:sz w:val="28"/>
          <w:szCs w:val="28"/>
          <w:lang w:val="en-ZA"/>
        </w:rPr>
        <w:t xml:space="preserve">African Petroleum Energy Guild (NPC) v RMB Private </w:t>
      </w:r>
      <w:r w:rsidR="00AB1053" w:rsidRPr="00AB1053">
        <w:rPr>
          <w:rFonts w:ascii="Times New Roman" w:hAnsi="Times New Roman" w:cs="Times New Roman"/>
          <w:b/>
          <w:bCs/>
          <w:sz w:val="28"/>
          <w:szCs w:val="28"/>
          <w:lang w:val="en-ZA"/>
        </w:rPr>
        <w:t xml:space="preserve">Bank (2014/27890) [2014] ZAGPJHC 368 </w:t>
      </w:r>
      <w:r w:rsidR="00AB1053" w:rsidRPr="0048454B">
        <w:rPr>
          <w:rFonts w:ascii="Times New Roman" w:hAnsi="Times New Roman" w:cs="Times New Roman"/>
          <w:sz w:val="28"/>
          <w:szCs w:val="28"/>
          <w:lang w:val="en-ZA"/>
        </w:rPr>
        <w:t>(5 December 2014) at para</w:t>
      </w:r>
      <w:r w:rsidR="00A26BF2">
        <w:rPr>
          <w:rFonts w:ascii="Times New Roman" w:hAnsi="Times New Roman" w:cs="Times New Roman"/>
          <w:sz w:val="28"/>
          <w:szCs w:val="28"/>
          <w:lang w:val="en-ZA"/>
        </w:rPr>
        <w:t>s</w:t>
      </w:r>
      <w:r w:rsidR="00AB1053" w:rsidRPr="0048454B">
        <w:rPr>
          <w:rFonts w:ascii="Times New Roman" w:hAnsi="Times New Roman" w:cs="Times New Roman"/>
          <w:sz w:val="28"/>
          <w:szCs w:val="28"/>
          <w:lang w:val="en-ZA"/>
        </w:rPr>
        <w:t>. 27</w:t>
      </w:r>
      <w:r w:rsidR="00A26BF2">
        <w:rPr>
          <w:rFonts w:ascii="Times New Roman" w:hAnsi="Times New Roman" w:cs="Times New Roman"/>
          <w:sz w:val="28"/>
          <w:szCs w:val="28"/>
          <w:lang w:val="en-ZA"/>
        </w:rPr>
        <w:t xml:space="preserve"> to 29</w:t>
      </w:r>
      <w:r w:rsidR="00AB1053" w:rsidRPr="0048454B">
        <w:rPr>
          <w:rFonts w:ascii="Times New Roman" w:hAnsi="Times New Roman" w:cs="Times New Roman"/>
          <w:sz w:val="28"/>
          <w:szCs w:val="28"/>
          <w:lang w:val="en-ZA"/>
        </w:rPr>
        <w:t>.</w:t>
      </w:r>
      <w:r w:rsidR="006622BC">
        <w:rPr>
          <w:rFonts w:ascii="Times New Roman" w:hAnsi="Times New Roman" w:cs="Times New Roman"/>
          <w:sz w:val="28"/>
          <w:szCs w:val="28"/>
          <w:lang w:val="en-ZA"/>
        </w:rPr>
        <w:t xml:space="preserve"> I cannot do better than quote them as they were made in the judgement:</w:t>
      </w:r>
    </w:p>
    <w:p w14:paraId="766250B2" w14:textId="34BEBD2B" w:rsidR="00AB1053" w:rsidRDefault="00AB1053" w:rsidP="006A160D">
      <w:pPr>
        <w:spacing w:after="0" w:line="360" w:lineRule="auto"/>
        <w:ind w:left="720" w:hanging="720"/>
        <w:jc w:val="both"/>
        <w:rPr>
          <w:rFonts w:ascii="Times New Roman" w:hAnsi="Times New Roman" w:cs="Times New Roman"/>
          <w:b/>
          <w:bCs/>
          <w:sz w:val="28"/>
          <w:szCs w:val="28"/>
          <w:lang w:val="en-ZA"/>
        </w:rPr>
      </w:pPr>
    </w:p>
    <w:p w14:paraId="0AB5FDF4" w14:textId="77777777" w:rsidR="00944DAD" w:rsidRDefault="00AB1053" w:rsidP="009D7B2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“[27] It seems to me that the obligations of a bank to initiate action </w:t>
      </w:r>
      <w:r w:rsidR="009D7B29">
        <w:rPr>
          <w:rFonts w:ascii="Times New Roman" w:hAnsi="Times New Roman" w:cs="Times New Roman"/>
          <w:i/>
          <w:iCs/>
          <w:sz w:val="24"/>
          <w:szCs w:val="24"/>
          <w:lang w:val="en-ZA"/>
        </w:rPr>
        <w:t xml:space="preserve">about money laundering are wholly regulated by statute.   There is no space, and indeed no need that is discernible in this regard to imply additional duties on the bank into its contract with its clients.  This outcome can be contrasted with circumstances illustrated in Van Nieuwkerk v McCrae 2007 (5) SA 21 (W) at 28D where Goldblatt J construed a sale of residential property to include ex lege an (sic) terms that the buildings were erected </w:t>
      </w:r>
      <w:r w:rsidR="00AA3839">
        <w:rPr>
          <w:rFonts w:ascii="Times New Roman" w:hAnsi="Times New Roman" w:cs="Times New Roman"/>
          <w:i/>
          <w:iCs/>
          <w:sz w:val="24"/>
          <w:szCs w:val="24"/>
          <w:lang w:val="en-ZA"/>
        </w:rPr>
        <w:t xml:space="preserve">in compliance with building regulations applicable to that area, and consciously developed common law to reflect that such a term was a naturalium.  </w:t>
      </w:r>
      <w:r w:rsidR="00AA3839" w:rsidRPr="002D2686">
        <w:rPr>
          <w:rFonts w:ascii="Times New Roman" w:hAnsi="Times New Roman" w:cs="Times New Roman"/>
          <w:b/>
          <w:bCs/>
          <w:i/>
          <w:iCs/>
          <w:sz w:val="24"/>
          <w:szCs w:val="24"/>
          <w:lang w:val="en-ZA"/>
        </w:rPr>
        <w:t xml:space="preserve">The respondent’s role in combating money laundering is already spelt out in the legislation: in essence to be vigilant about possible unlawful activity and report it when it is noticed </w:t>
      </w:r>
      <w:r w:rsidR="00AA3839" w:rsidRPr="002D2686">
        <w:rPr>
          <w:rFonts w:ascii="Times New Roman" w:hAnsi="Times New Roman" w:cs="Times New Roman"/>
          <w:b/>
          <w:bCs/>
          <w:i/>
          <w:iCs/>
          <w:sz w:val="24"/>
          <w:szCs w:val="24"/>
          <w:lang w:val="en-ZA"/>
        </w:rPr>
        <w:lastRenderedPageBreak/>
        <w:t xml:space="preserve">and if lawfully instructed to put a </w:t>
      </w:r>
      <w:r w:rsidR="0080338E" w:rsidRPr="002D2686">
        <w:rPr>
          <w:rFonts w:ascii="Times New Roman" w:hAnsi="Times New Roman" w:cs="Times New Roman"/>
          <w:b/>
          <w:bCs/>
          <w:i/>
          <w:iCs/>
          <w:sz w:val="24"/>
          <w:szCs w:val="24"/>
          <w:lang w:val="en-ZA"/>
        </w:rPr>
        <w:t>hold on funds, to do so</w:t>
      </w:r>
      <w:r w:rsidR="0080338E">
        <w:rPr>
          <w:rFonts w:ascii="Times New Roman" w:hAnsi="Times New Roman" w:cs="Times New Roman"/>
          <w:i/>
          <w:iCs/>
          <w:sz w:val="24"/>
          <w:szCs w:val="24"/>
          <w:lang w:val="en-ZA"/>
        </w:rPr>
        <w:t>.  There is no scope to develop a role for what would</w:t>
      </w:r>
      <w:r w:rsidR="00121E6D">
        <w:rPr>
          <w:rFonts w:ascii="Times New Roman" w:hAnsi="Times New Roman" w:cs="Times New Roman"/>
          <w:i/>
          <w:iCs/>
          <w:sz w:val="24"/>
          <w:szCs w:val="24"/>
          <w:lang w:val="en-ZA"/>
        </w:rPr>
        <w:t xml:space="preserve"> be a cousin of the Lex Commissoria to add to the battalions arrayed against rich crooks</w:t>
      </w:r>
      <w:r w:rsidR="0068430F">
        <w:rPr>
          <w:rFonts w:ascii="Times New Roman" w:hAnsi="Times New Roman" w:cs="Times New Roman"/>
          <w:i/>
          <w:iCs/>
          <w:sz w:val="24"/>
          <w:szCs w:val="24"/>
          <w:lang w:val="en-ZA"/>
        </w:rPr>
        <w:t xml:space="preserve">.  The existence of the warranty in my view, does not disturb this overall outcome: rather it tends to support the notion that the protections against </w:t>
      </w:r>
      <w:r w:rsidR="00944DAD">
        <w:rPr>
          <w:rFonts w:ascii="Times New Roman" w:hAnsi="Times New Roman" w:cs="Times New Roman"/>
          <w:i/>
          <w:iCs/>
          <w:sz w:val="24"/>
          <w:szCs w:val="24"/>
          <w:lang w:val="en-ZA"/>
        </w:rPr>
        <w:t>legitimate criticism of the respondent have been comprehensively addressed.</w:t>
      </w:r>
    </w:p>
    <w:p w14:paraId="5168A457" w14:textId="77777777" w:rsidR="00944DAD" w:rsidRDefault="00944DAD" w:rsidP="009D7B29">
      <w:pPr>
        <w:spacing w:after="0" w:line="360" w:lineRule="auto"/>
        <w:ind w:left="1440" w:right="1008"/>
        <w:jc w:val="both"/>
        <w:rPr>
          <w:rFonts w:ascii="Times New Roman" w:hAnsi="Times New Roman" w:cs="Times New Roman"/>
          <w:i/>
          <w:iCs/>
          <w:sz w:val="24"/>
          <w:szCs w:val="24"/>
          <w:lang w:val="en-ZA"/>
        </w:rPr>
      </w:pPr>
    </w:p>
    <w:p w14:paraId="15ACF829" w14:textId="77777777" w:rsidR="00944DAD" w:rsidRDefault="00944DAD" w:rsidP="009D7B2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[28] Moreover, the term sought to be imputed and its radical intrusion on the rights of a client far exceeds what FICA authorities centre to do.  What is sometimes overlooked is that even criminals have rights; the more basic of which is to be convicted before being punished.  With the sole exception of the process of Asset forfeiture provided for in Chapter 6 of the POCA, our law adheres to this order of things.</w:t>
      </w:r>
    </w:p>
    <w:p w14:paraId="0042D7A6" w14:textId="77777777" w:rsidR="00944DAD" w:rsidRDefault="00944DAD" w:rsidP="009D7B29">
      <w:pPr>
        <w:spacing w:after="0" w:line="360" w:lineRule="auto"/>
        <w:ind w:left="1440" w:right="1008"/>
        <w:jc w:val="both"/>
        <w:rPr>
          <w:rFonts w:ascii="Times New Roman" w:hAnsi="Times New Roman" w:cs="Times New Roman"/>
          <w:i/>
          <w:iCs/>
          <w:sz w:val="24"/>
          <w:szCs w:val="24"/>
          <w:lang w:val="en-ZA"/>
        </w:rPr>
      </w:pPr>
    </w:p>
    <w:p w14:paraId="36BAE7AC" w14:textId="2AA49055" w:rsidR="00E4423A" w:rsidRDefault="00A03CDB" w:rsidP="009D7B2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[29] By contrast, the respondent claims a term that entitles it to freeze R5 million of a business for five months, and further claims it may continue to do so until the applicant convinces a court that the bank’s belief in its wickedness is unreasonable.  In my view to imply such a term is untenable.  In Schoeman </w:t>
      </w:r>
      <w:r w:rsidR="004F342B">
        <w:rPr>
          <w:rFonts w:ascii="Times New Roman" w:hAnsi="Times New Roman" w:cs="Times New Roman"/>
          <w:i/>
          <w:iCs/>
          <w:sz w:val="24"/>
          <w:szCs w:val="24"/>
          <w:lang w:val="en-ZA"/>
        </w:rPr>
        <w:t>v Constantia Insurance Co. Ltd 2003 (6) SA 313 (SCA)</w:t>
      </w:r>
      <w:r w:rsidR="0080338E">
        <w:rPr>
          <w:rFonts w:ascii="Times New Roman" w:hAnsi="Times New Roman" w:cs="Times New Roman"/>
          <w:i/>
          <w:iCs/>
          <w:sz w:val="24"/>
          <w:szCs w:val="24"/>
          <w:lang w:val="en-ZA"/>
        </w:rPr>
        <w:t xml:space="preserve"> </w:t>
      </w:r>
      <w:r w:rsidR="007E2079">
        <w:rPr>
          <w:rFonts w:ascii="Times New Roman" w:hAnsi="Times New Roman" w:cs="Times New Roman"/>
          <w:i/>
          <w:iCs/>
          <w:sz w:val="24"/>
          <w:szCs w:val="24"/>
          <w:lang w:val="en-ZA"/>
        </w:rPr>
        <w:t>at [21] Marais JA was moved to remark that ‘our law is basically anti-penal.’</w:t>
      </w:r>
      <w:r w:rsidR="00B17D24">
        <w:rPr>
          <w:rFonts w:ascii="Times New Roman" w:hAnsi="Times New Roman" w:cs="Times New Roman"/>
          <w:i/>
          <w:iCs/>
          <w:sz w:val="24"/>
          <w:szCs w:val="24"/>
          <w:lang w:val="en-ZA"/>
        </w:rPr>
        <w:t xml:space="preserve">  In my view that is a salutary thought and the adverse consequence to the client’s case flow, market reputation, and solvency if a bank could invoke such a power over the client is so intrusive, that in my view, the only way to found such power would be an express terms of an agreement.  If a bank should desire to operate bank accounts on such a basis in order to pursue its public</w:t>
      </w:r>
      <w:r w:rsidR="00E4423A">
        <w:rPr>
          <w:rFonts w:ascii="Times New Roman" w:hAnsi="Times New Roman" w:cs="Times New Roman"/>
          <w:i/>
          <w:iCs/>
          <w:sz w:val="24"/>
          <w:szCs w:val="24"/>
          <w:lang w:val="en-ZA"/>
        </w:rPr>
        <w:t xml:space="preserve"> </w:t>
      </w:r>
      <w:r w:rsidR="00B17D24">
        <w:rPr>
          <w:rFonts w:ascii="Times New Roman" w:hAnsi="Times New Roman" w:cs="Times New Roman"/>
          <w:i/>
          <w:iCs/>
          <w:sz w:val="24"/>
          <w:szCs w:val="24"/>
          <w:lang w:val="en-ZA"/>
        </w:rPr>
        <w:t>spirited commitment to the promotion of an ethos</w:t>
      </w:r>
      <w:r w:rsidR="00E4423A">
        <w:rPr>
          <w:rFonts w:ascii="Times New Roman" w:hAnsi="Times New Roman" w:cs="Times New Roman"/>
          <w:i/>
          <w:iCs/>
          <w:sz w:val="24"/>
          <w:szCs w:val="24"/>
          <w:lang w:val="en-ZA"/>
        </w:rPr>
        <w:t xml:space="preserve"> of integrity, it should do so on express terms, not ambush a client ex post facto.”</w:t>
      </w:r>
      <w:r w:rsidR="002D2686">
        <w:rPr>
          <w:rFonts w:ascii="Times New Roman" w:hAnsi="Times New Roman" w:cs="Times New Roman"/>
          <w:i/>
          <w:iCs/>
          <w:sz w:val="24"/>
          <w:szCs w:val="24"/>
          <w:lang w:val="en-ZA"/>
        </w:rPr>
        <w:t>(emphasis added)</w:t>
      </w:r>
    </w:p>
    <w:p w14:paraId="02DD03C4" w14:textId="73E622B5" w:rsidR="00E4423A" w:rsidRDefault="00E4423A" w:rsidP="00E4423A">
      <w:pPr>
        <w:spacing w:after="0" w:line="360" w:lineRule="auto"/>
        <w:ind w:right="1008"/>
        <w:jc w:val="both"/>
        <w:rPr>
          <w:rFonts w:ascii="Times New Roman" w:hAnsi="Times New Roman" w:cs="Times New Roman"/>
          <w:i/>
          <w:iCs/>
          <w:sz w:val="24"/>
          <w:szCs w:val="24"/>
          <w:lang w:val="en-ZA"/>
        </w:rPr>
      </w:pPr>
    </w:p>
    <w:p w14:paraId="6626B618" w14:textId="054122AB" w:rsidR="008A3C26" w:rsidRDefault="00E4423A" w:rsidP="00DB6B49">
      <w:pPr>
        <w:spacing w:after="0" w:line="360" w:lineRule="auto"/>
        <w:ind w:left="720" w:hanging="720"/>
        <w:jc w:val="both"/>
        <w:rPr>
          <w:rFonts w:ascii="Times New Roman" w:hAnsi="Times New Roman" w:cs="Times New Roman"/>
          <w:sz w:val="28"/>
          <w:szCs w:val="28"/>
          <w:lang w:val="en-ZA"/>
        </w:rPr>
      </w:pPr>
      <w:r w:rsidRPr="00DB6B49">
        <w:rPr>
          <w:rFonts w:ascii="Times New Roman" w:hAnsi="Times New Roman" w:cs="Times New Roman"/>
          <w:sz w:val="28"/>
          <w:szCs w:val="28"/>
          <w:lang w:val="en-ZA"/>
        </w:rPr>
        <w:lastRenderedPageBreak/>
        <w:t>[17]</w:t>
      </w:r>
      <w:r w:rsidRPr="00DB6B49">
        <w:rPr>
          <w:rFonts w:ascii="Times New Roman" w:hAnsi="Times New Roman" w:cs="Times New Roman"/>
          <w:sz w:val="28"/>
          <w:szCs w:val="28"/>
          <w:lang w:val="en-ZA"/>
        </w:rPr>
        <w:tab/>
        <w:t>In the above-quoted case</w:t>
      </w:r>
      <w:r w:rsidR="009B072C">
        <w:rPr>
          <w:rFonts w:ascii="Times New Roman" w:hAnsi="Times New Roman" w:cs="Times New Roman"/>
          <w:sz w:val="28"/>
          <w:szCs w:val="28"/>
          <w:lang w:val="en-ZA"/>
        </w:rPr>
        <w:t>,</w:t>
      </w:r>
      <w:r w:rsidRPr="00DB6B49">
        <w:rPr>
          <w:rFonts w:ascii="Times New Roman" w:hAnsi="Times New Roman" w:cs="Times New Roman"/>
          <w:sz w:val="28"/>
          <w:szCs w:val="28"/>
          <w:lang w:val="en-ZA"/>
        </w:rPr>
        <w:t xml:space="preserve"> the applicant entity which is a client of the respondent bank </w:t>
      </w:r>
      <w:r w:rsidR="00F054DF">
        <w:rPr>
          <w:rFonts w:ascii="Times New Roman" w:hAnsi="Times New Roman" w:cs="Times New Roman"/>
          <w:sz w:val="28"/>
          <w:szCs w:val="28"/>
          <w:lang w:val="en-ZA"/>
        </w:rPr>
        <w:t xml:space="preserve">applied to court to force the bank to release </w:t>
      </w:r>
      <w:r w:rsidR="009B072C">
        <w:rPr>
          <w:rFonts w:ascii="Times New Roman" w:hAnsi="Times New Roman" w:cs="Times New Roman"/>
          <w:sz w:val="28"/>
          <w:szCs w:val="28"/>
          <w:lang w:val="en-ZA"/>
        </w:rPr>
        <w:t>the funds</w:t>
      </w:r>
      <w:r w:rsidR="00F054DF">
        <w:rPr>
          <w:rFonts w:ascii="Times New Roman" w:hAnsi="Times New Roman" w:cs="Times New Roman"/>
          <w:sz w:val="28"/>
          <w:szCs w:val="28"/>
          <w:lang w:val="en-ZA"/>
        </w:rPr>
        <w:t xml:space="preserve"> in </w:t>
      </w:r>
      <w:r w:rsidR="009B072C">
        <w:rPr>
          <w:rFonts w:ascii="Times New Roman" w:hAnsi="Times New Roman" w:cs="Times New Roman"/>
          <w:sz w:val="28"/>
          <w:szCs w:val="28"/>
          <w:lang w:val="en-ZA"/>
        </w:rPr>
        <w:t>its</w:t>
      </w:r>
      <w:r w:rsidR="00F054DF">
        <w:rPr>
          <w:rFonts w:ascii="Times New Roman" w:hAnsi="Times New Roman" w:cs="Times New Roman"/>
          <w:sz w:val="28"/>
          <w:szCs w:val="28"/>
          <w:lang w:val="en-ZA"/>
        </w:rPr>
        <w:t xml:space="preserve"> account held with </w:t>
      </w:r>
      <w:r w:rsidR="009B072C">
        <w:rPr>
          <w:rFonts w:ascii="Times New Roman" w:hAnsi="Times New Roman" w:cs="Times New Roman"/>
          <w:sz w:val="28"/>
          <w:szCs w:val="28"/>
          <w:lang w:val="en-ZA"/>
        </w:rPr>
        <w:t>the bank</w:t>
      </w:r>
      <w:r w:rsidR="00F054DF">
        <w:rPr>
          <w:rFonts w:ascii="Times New Roman" w:hAnsi="Times New Roman" w:cs="Times New Roman"/>
          <w:sz w:val="28"/>
          <w:szCs w:val="28"/>
          <w:lang w:val="en-ZA"/>
        </w:rPr>
        <w:t>.  The bank</w:t>
      </w:r>
      <w:r w:rsidR="00DF7C2E">
        <w:rPr>
          <w:rFonts w:ascii="Times New Roman" w:hAnsi="Times New Roman" w:cs="Times New Roman"/>
          <w:sz w:val="28"/>
          <w:szCs w:val="28"/>
          <w:lang w:val="en-ZA"/>
        </w:rPr>
        <w:t xml:space="preserve"> resisted the application on the score that there was</w:t>
      </w:r>
      <w:r w:rsidR="009B072C">
        <w:rPr>
          <w:rFonts w:ascii="Times New Roman" w:hAnsi="Times New Roman" w:cs="Times New Roman"/>
          <w:sz w:val="28"/>
          <w:szCs w:val="28"/>
          <w:lang w:val="en-ZA"/>
        </w:rPr>
        <w:t xml:space="preserve"> a</w:t>
      </w:r>
      <w:r w:rsidR="00DF7C2E">
        <w:rPr>
          <w:rFonts w:ascii="Times New Roman" w:hAnsi="Times New Roman" w:cs="Times New Roman"/>
          <w:sz w:val="28"/>
          <w:szCs w:val="28"/>
          <w:lang w:val="en-ZA"/>
        </w:rPr>
        <w:t xml:space="preserve"> tacid term of the agreement between </w:t>
      </w:r>
      <w:r w:rsidR="009B072C">
        <w:rPr>
          <w:rFonts w:ascii="Times New Roman" w:hAnsi="Times New Roman" w:cs="Times New Roman"/>
          <w:sz w:val="28"/>
          <w:szCs w:val="28"/>
          <w:lang w:val="en-ZA"/>
        </w:rPr>
        <w:t>it</w:t>
      </w:r>
      <w:r w:rsidR="00DF7C2E">
        <w:rPr>
          <w:rFonts w:ascii="Times New Roman" w:hAnsi="Times New Roman" w:cs="Times New Roman"/>
          <w:sz w:val="28"/>
          <w:szCs w:val="28"/>
          <w:lang w:val="en-ZA"/>
        </w:rPr>
        <w:t xml:space="preserve"> and its client that if the bank reasonably suspects that there is money laundering happening in relation to the client’s bank </w:t>
      </w:r>
      <w:r w:rsidR="008A3C26">
        <w:rPr>
          <w:rFonts w:ascii="Times New Roman" w:hAnsi="Times New Roman" w:cs="Times New Roman"/>
          <w:sz w:val="28"/>
          <w:szCs w:val="28"/>
          <w:lang w:val="en-ZA"/>
        </w:rPr>
        <w:t xml:space="preserve">account, </w:t>
      </w:r>
      <w:r w:rsidR="009B072C">
        <w:rPr>
          <w:rFonts w:ascii="Times New Roman" w:hAnsi="Times New Roman" w:cs="Times New Roman"/>
          <w:sz w:val="28"/>
          <w:szCs w:val="28"/>
          <w:lang w:val="en-ZA"/>
        </w:rPr>
        <w:t>it</w:t>
      </w:r>
      <w:r w:rsidR="008A3C26">
        <w:rPr>
          <w:rFonts w:ascii="Times New Roman" w:hAnsi="Times New Roman" w:cs="Times New Roman"/>
          <w:sz w:val="28"/>
          <w:szCs w:val="28"/>
          <w:lang w:val="en-ZA"/>
        </w:rPr>
        <w:t xml:space="preserve"> may freeze the funds in the account until the client satisfies it that the funds are not proceeds of illegal activities.  The court agreed with the applicant that the freezing of its account was unlawful.</w:t>
      </w:r>
    </w:p>
    <w:p w14:paraId="7931316A" w14:textId="77777777" w:rsidR="008A3C26" w:rsidRDefault="008A3C26" w:rsidP="00DB6B49">
      <w:pPr>
        <w:spacing w:after="0" w:line="360" w:lineRule="auto"/>
        <w:ind w:left="720" w:hanging="720"/>
        <w:jc w:val="both"/>
        <w:rPr>
          <w:rFonts w:ascii="Times New Roman" w:hAnsi="Times New Roman" w:cs="Times New Roman"/>
          <w:sz w:val="28"/>
          <w:szCs w:val="28"/>
          <w:lang w:val="en-ZA"/>
        </w:rPr>
      </w:pPr>
    </w:p>
    <w:p w14:paraId="1CFDB7AF" w14:textId="46539667" w:rsidR="006C33FC" w:rsidRDefault="008A3C26" w:rsidP="00DB6B4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t xml:space="preserve">In the present matter the respondent advances more or </w:t>
      </w:r>
      <w:r w:rsidR="004D359A">
        <w:rPr>
          <w:rFonts w:ascii="Times New Roman" w:hAnsi="Times New Roman" w:cs="Times New Roman"/>
          <w:sz w:val="28"/>
          <w:szCs w:val="28"/>
          <w:lang w:val="en-ZA"/>
        </w:rPr>
        <w:t>le</w:t>
      </w:r>
      <w:r>
        <w:rPr>
          <w:rFonts w:ascii="Times New Roman" w:hAnsi="Times New Roman" w:cs="Times New Roman"/>
          <w:sz w:val="28"/>
          <w:szCs w:val="28"/>
          <w:lang w:val="en-ZA"/>
        </w:rPr>
        <w:t>ss similar arguments</w:t>
      </w:r>
      <w:r w:rsidR="004D359A">
        <w:rPr>
          <w:rFonts w:ascii="Times New Roman" w:hAnsi="Times New Roman" w:cs="Times New Roman"/>
          <w:sz w:val="28"/>
          <w:szCs w:val="28"/>
          <w:lang w:val="en-ZA"/>
        </w:rPr>
        <w:t xml:space="preserve"> that it was entitled to impose what it calls </w:t>
      </w:r>
      <w:r w:rsidR="006C33FC">
        <w:rPr>
          <w:rFonts w:ascii="Times New Roman" w:hAnsi="Times New Roman" w:cs="Times New Roman"/>
          <w:sz w:val="28"/>
          <w:szCs w:val="28"/>
          <w:lang w:val="en-ZA"/>
        </w:rPr>
        <w:t>‘</w:t>
      </w:r>
      <w:r w:rsidR="004D359A">
        <w:rPr>
          <w:rFonts w:ascii="Times New Roman" w:hAnsi="Times New Roman" w:cs="Times New Roman"/>
          <w:sz w:val="28"/>
          <w:szCs w:val="28"/>
          <w:lang w:val="en-ZA"/>
        </w:rPr>
        <w:t>temporary freeze</w:t>
      </w:r>
      <w:r w:rsidR="006C33FC">
        <w:rPr>
          <w:rFonts w:ascii="Times New Roman" w:hAnsi="Times New Roman" w:cs="Times New Roman"/>
          <w:sz w:val="28"/>
          <w:szCs w:val="28"/>
          <w:lang w:val="en-ZA"/>
        </w:rPr>
        <w:t>’</w:t>
      </w:r>
      <w:r w:rsidR="004D359A">
        <w:rPr>
          <w:rFonts w:ascii="Times New Roman" w:hAnsi="Times New Roman" w:cs="Times New Roman"/>
          <w:sz w:val="28"/>
          <w:szCs w:val="28"/>
          <w:lang w:val="en-ZA"/>
        </w:rPr>
        <w:t xml:space="preserve"> of the 1</w:t>
      </w:r>
      <w:r w:rsidR="004D359A" w:rsidRPr="004D359A">
        <w:rPr>
          <w:rFonts w:ascii="Times New Roman" w:hAnsi="Times New Roman" w:cs="Times New Roman"/>
          <w:sz w:val="28"/>
          <w:szCs w:val="28"/>
          <w:vertAlign w:val="superscript"/>
          <w:lang w:val="en-ZA"/>
        </w:rPr>
        <w:t>st</w:t>
      </w:r>
      <w:r w:rsidR="004D359A">
        <w:rPr>
          <w:rFonts w:ascii="Times New Roman" w:hAnsi="Times New Roman" w:cs="Times New Roman"/>
          <w:sz w:val="28"/>
          <w:szCs w:val="28"/>
          <w:lang w:val="en-ZA"/>
        </w:rPr>
        <w:t xml:space="preserve"> applicant’s account </w:t>
      </w:r>
      <w:r w:rsidR="00860C6C">
        <w:rPr>
          <w:rFonts w:ascii="Times New Roman" w:hAnsi="Times New Roman" w:cs="Times New Roman"/>
          <w:sz w:val="28"/>
          <w:szCs w:val="28"/>
          <w:lang w:val="en-ZA"/>
        </w:rPr>
        <w:t xml:space="preserve">until the latter satisfied it of the source of the funds.  Despite explanations </w:t>
      </w:r>
      <w:r w:rsidR="00BA7AE7">
        <w:rPr>
          <w:rFonts w:ascii="Times New Roman" w:hAnsi="Times New Roman" w:cs="Times New Roman"/>
          <w:sz w:val="28"/>
          <w:szCs w:val="28"/>
          <w:lang w:val="en-ZA"/>
        </w:rPr>
        <w:t>and documentary proof</w:t>
      </w:r>
      <w:r w:rsidR="006C33FC">
        <w:rPr>
          <w:rFonts w:ascii="Times New Roman" w:hAnsi="Times New Roman" w:cs="Times New Roman"/>
          <w:sz w:val="28"/>
          <w:szCs w:val="28"/>
          <w:lang w:val="en-ZA"/>
        </w:rPr>
        <w:t>,</w:t>
      </w:r>
      <w:r w:rsidR="00BA7AE7">
        <w:rPr>
          <w:rFonts w:ascii="Times New Roman" w:hAnsi="Times New Roman" w:cs="Times New Roman"/>
          <w:sz w:val="28"/>
          <w:szCs w:val="28"/>
          <w:lang w:val="en-ZA"/>
        </w:rPr>
        <w:t xml:space="preserve"> </w:t>
      </w:r>
      <w:r w:rsidR="006C33FC">
        <w:rPr>
          <w:rFonts w:ascii="Times New Roman" w:hAnsi="Times New Roman" w:cs="Times New Roman"/>
          <w:sz w:val="28"/>
          <w:szCs w:val="28"/>
          <w:lang w:val="en-ZA"/>
        </w:rPr>
        <w:t>t</w:t>
      </w:r>
      <w:r w:rsidR="00BA7AE7">
        <w:rPr>
          <w:rFonts w:ascii="Times New Roman" w:hAnsi="Times New Roman" w:cs="Times New Roman"/>
          <w:sz w:val="28"/>
          <w:szCs w:val="28"/>
          <w:lang w:val="en-ZA"/>
        </w:rPr>
        <w:t xml:space="preserve">he respondent remained unconvinced and adamant that its </w:t>
      </w:r>
      <w:r w:rsidR="006C33FC">
        <w:rPr>
          <w:rFonts w:ascii="Times New Roman" w:hAnsi="Times New Roman" w:cs="Times New Roman"/>
          <w:sz w:val="28"/>
          <w:szCs w:val="28"/>
          <w:lang w:val="en-ZA"/>
        </w:rPr>
        <w:t>‘</w:t>
      </w:r>
      <w:r w:rsidR="00BA7AE7">
        <w:rPr>
          <w:rFonts w:ascii="Times New Roman" w:hAnsi="Times New Roman" w:cs="Times New Roman"/>
          <w:sz w:val="28"/>
          <w:szCs w:val="28"/>
          <w:lang w:val="en-ZA"/>
        </w:rPr>
        <w:t>temporary freeze</w:t>
      </w:r>
      <w:r w:rsidR="006C33FC">
        <w:rPr>
          <w:rFonts w:ascii="Times New Roman" w:hAnsi="Times New Roman" w:cs="Times New Roman"/>
          <w:sz w:val="28"/>
          <w:szCs w:val="28"/>
          <w:lang w:val="en-ZA"/>
        </w:rPr>
        <w:t>’</w:t>
      </w:r>
      <w:r w:rsidR="00BA7AE7">
        <w:rPr>
          <w:rFonts w:ascii="Times New Roman" w:hAnsi="Times New Roman" w:cs="Times New Roman"/>
          <w:sz w:val="28"/>
          <w:szCs w:val="28"/>
          <w:lang w:val="en-ZA"/>
        </w:rPr>
        <w:t xml:space="preserve"> should remain in place until the applicants were forced to approach this court by filing the current applicant on 29 July 2022. </w:t>
      </w:r>
    </w:p>
    <w:p w14:paraId="7F5E1776" w14:textId="77777777" w:rsidR="006C33FC" w:rsidRDefault="006C33FC" w:rsidP="00DB6B49">
      <w:pPr>
        <w:spacing w:after="0" w:line="360" w:lineRule="auto"/>
        <w:ind w:left="720" w:hanging="720"/>
        <w:jc w:val="both"/>
        <w:rPr>
          <w:rFonts w:ascii="Times New Roman" w:hAnsi="Times New Roman" w:cs="Times New Roman"/>
          <w:sz w:val="28"/>
          <w:szCs w:val="28"/>
          <w:lang w:val="en-ZA"/>
        </w:rPr>
      </w:pPr>
    </w:p>
    <w:p w14:paraId="5ECE75E9" w14:textId="261A4667" w:rsidR="00E4423A" w:rsidRPr="00DB6B49" w:rsidRDefault="006C33FC" w:rsidP="00DB6B4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[19]   </w:t>
      </w:r>
      <w:r w:rsidR="00BA7AE7">
        <w:rPr>
          <w:rFonts w:ascii="Times New Roman" w:hAnsi="Times New Roman" w:cs="Times New Roman"/>
          <w:sz w:val="28"/>
          <w:szCs w:val="28"/>
          <w:lang w:val="en-ZA"/>
        </w:rPr>
        <w:t xml:space="preserve">Faced with the lack statutory support for its actions, the respondent further sought refuge in the order of this court (Annexure “FNB1”) in terms of which this court authorized </w:t>
      </w:r>
      <w:r>
        <w:rPr>
          <w:rFonts w:ascii="Times New Roman" w:hAnsi="Times New Roman" w:cs="Times New Roman"/>
          <w:sz w:val="28"/>
          <w:szCs w:val="28"/>
          <w:lang w:val="en-ZA"/>
        </w:rPr>
        <w:t>it</w:t>
      </w:r>
      <w:r w:rsidR="002C5EDD">
        <w:rPr>
          <w:rFonts w:ascii="Times New Roman" w:hAnsi="Times New Roman" w:cs="Times New Roman"/>
          <w:sz w:val="28"/>
          <w:szCs w:val="28"/>
          <w:lang w:val="en-ZA"/>
        </w:rPr>
        <w:t xml:space="preserve"> to reverse funds and to interdict further </w:t>
      </w:r>
      <w:r w:rsidR="00AF4A47">
        <w:rPr>
          <w:rFonts w:ascii="Times New Roman" w:hAnsi="Times New Roman" w:cs="Times New Roman"/>
          <w:sz w:val="28"/>
          <w:szCs w:val="28"/>
          <w:lang w:val="en-ZA"/>
        </w:rPr>
        <w:t>transfers out of Platinum C</w:t>
      </w:r>
      <w:r w:rsidR="002C5EDD">
        <w:rPr>
          <w:rFonts w:ascii="Times New Roman" w:hAnsi="Times New Roman" w:cs="Times New Roman"/>
          <w:sz w:val="28"/>
          <w:szCs w:val="28"/>
          <w:lang w:val="en-ZA"/>
        </w:rPr>
        <w:t>redit</w:t>
      </w:r>
      <w:r>
        <w:rPr>
          <w:rFonts w:ascii="Times New Roman" w:hAnsi="Times New Roman" w:cs="Times New Roman"/>
          <w:sz w:val="28"/>
          <w:szCs w:val="28"/>
          <w:lang w:val="en-ZA"/>
        </w:rPr>
        <w:t xml:space="preserve"> Limited</w:t>
      </w:r>
      <w:r w:rsidR="002C5EDD">
        <w:rPr>
          <w:rFonts w:ascii="Times New Roman" w:hAnsi="Times New Roman" w:cs="Times New Roman"/>
          <w:sz w:val="28"/>
          <w:szCs w:val="28"/>
          <w:lang w:val="en-ZA"/>
        </w:rPr>
        <w:t>’s account without prior consent of Platcorp Holdings</w:t>
      </w:r>
      <w:r w:rsidR="00AF4A47">
        <w:rPr>
          <w:rFonts w:ascii="Times New Roman" w:hAnsi="Times New Roman" w:cs="Times New Roman"/>
          <w:sz w:val="28"/>
          <w:szCs w:val="28"/>
          <w:lang w:val="en-ZA"/>
        </w:rPr>
        <w:t xml:space="preserve"> Limited.  It </w:t>
      </w:r>
      <w:r>
        <w:rPr>
          <w:rFonts w:ascii="Times New Roman" w:hAnsi="Times New Roman" w:cs="Times New Roman"/>
          <w:sz w:val="28"/>
          <w:szCs w:val="28"/>
          <w:lang w:val="en-ZA"/>
        </w:rPr>
        <w:t xml:space="preserve">should be stated at the outset that </w:t>
      </w:r>
      <w:r w:rsidR="00AF4A47">
        <w:rPr>
          <w:rFonts w:ascii="Times New Roman" w:hAnsi="Times New Roman" w:cs="Times New Roman"/>
          <w:sz w:val="28"/>
          <w:szCs w:val="28"/>
          <w:lang w:val="en-ZA"/>
        </w:rPr>
        <w:t>the said court order does not support the respondent.  Importantly, this court order was issued on the 15 July 2022, and relevant for present purposes, in prayer 1(a) (vii)</w:t>
      </w:r>
      <w:r>
        <w:rPr>
          <w:rFonts w:ascii="Times New Roman" w:hAnsi="Times New Roman" w:cs="Times New Roman"/>
          <w:sz w:val="28"/>
          <w:szCs w:val="28"/>
          <w:lang w:val="en-ZA"/>
        </w:rPr>
        <w:t>, it provides that</w:t>
      </w:r>
      <w:r w:rsidR="00AF4A47">
        <w:rPr>
          <w:rFonts w:ascii="Times New Roman" w:hAnsi="Times New Roman" w:cs="Times New Roman"/>
          <w:sz w:val="28"/>
          <w:szCs w:val="28"/>
          <w:lang w:val="en-ZA"/>
        </w:rPr>
        <w:t>:</w:t>
      </w:r>
      <w:r w:rsidR="008A3C26">
        <w:rPr>
          <w:rFonts w:ascii="Times New Roman" w:hAnsi="Times New Roman" w:cs="Times New Roman"/>
          <w:sz w:val="28"/>
          <w:szCs w:val="28"/>
          <w:lang w:val="en-ZA"/>
        </w:rPr>
        <w:t xml:space="preserve">  </w:t>
      </w:r>
    </w:p>
    <w:p w14:paraId="002937FA" w14:textId="77777777" w:rsidR="00E4423A" w:rsidRDefault="00E4423A" w:rsidP="00E4423A">
      <w:pPr>
        <w:spacing w:after="0" w:line="360" w:lineRule="auto"/>
        <w:ind w:right="1008"/>
        <w:jc w:val="both"/>
        <w:rPr>
          <w:rFonts w:ascii="Times New Roman" w:hAnsi="Times New Roman" w:cs="Times New Roman"/>
          <w:i/>
          <w:iCs/>
          <w:sz w:val="24"/>
          <w:szCs w:val="24"/>
          <w:lang w:val="en-ZA"/>
        </w:rPr>
      </w:pPr>
    </w:p>
    <w:p w14:paraId="146BED6B" w14:textId="43B5414E" w:rsidR="00AB1053" w:rsidRDefault="00B17D24" w:rsidP="0034703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 </w:t>
      </w:r>
      <w:r w:rsidR="00347035">
        <w:rPr>
          <w:rFonts w:ascii="Times New Roman" w:hAnsi="Times New Roman" w:cs="Times New Roman"/>
          <w:i/>
          <w:iCs/>
          <w:sz w:val="24"/>
          <w:szCs w:val="24"/>
          <w:lang w:val="en-ZA"/>
        </w:rPr>
        <w:t>“That the 10</w:t>
      </w:r>
      <w:r w:rsidR="00347035" w:rsidRPr="00347035">
        <w:rPr>
          <w:rFonts w:ascii="Times New Roman" w:hAnsi="Times New Roman" w:cs="Times New Roman"/>
          <w:i/>
          <w:iCs/>
          <w:sz w:val="24"/>
          <w:szCs w:val="24"/>
          <w:vertAlign w:val="superscript"/>
          <w:lang w:val="en-ZA"/>
        </w:rPr>
        <w:t>th</w:t>
      </w:r>
      <w:r w:rsidR="00347035">
        <w:rPr>
          <w:rFonts w:ascii="Times New Roman" w:hAnsi="Times New Roman" w:cs="Times New Roman"/>
          <w:i/>
          <w:iCs/>
          <w:sz w:val="24"/>
          <w:szCs w:val="24"/>
          <w:lang w:val="en-ZA"/>
        </w:rPr>
        <w:t xml:space="preserve"> respondent, FNB, is ordered to immediately reverse the payments/debits out of 1</w:t>
      </w:r>
      <w:r w:rsidR="00347035" w:rsidRPr="00347035">
        <w:rPr>
          <w:rFonts w:ascii="Times New Roman" w:hAnsi="Times New Roman" w:cs="Times New Roman"/>
          <w:i/>
          <w:iCs/>
          <w:sz w:val="24"/>
          <w:szCs w:val="24"/>
          <w:vertAlign w:val="superscript"/>
          <w:lang w:val="en-ZA"/>
        </w:rPr>
        <w:t>st</w:t>
      </w:r>
      <w:r w:rsidR="00347035">
        <w:rPr>
          <w:rFonts w:ascii="Times New Roman" w:hAnsi="Times New Roman" w:cs="Times New Roman"/>
          <w:i/>
          <w:iCs/>
          <w:sz w:val="24"/>
          <w:szCs w:val="24"/>
          <w:lang w:val="en-ZA"/>
        </w:rPr>
        <w:t xml:space="preserve"> respondent’s FNB account number 62789893130 made on 14 July 2022 in the amounts M2805,493.23 AND ordered to desist from making any further payments at all out of any and all of the 1</w:t>
      </w:r>
      <w:r w:rsidR="00347035" w:rsidRPr="00347035">
        <w:rPr>
          <w:rFonts w:ascii="Times New Roman" w:hAnsi="Times New Roman" w:cs="Times New Roman"/>
          <w:i/>
          <w:iCs/>
          <w:sz w:val="24"/>
          <w:szCs w:val="24"/>
          <w:vertAlign w:val="superscript"/>
          <w:lang w:val="en-ZA"/>
        </w:rPr>
        <w:t>st</w:t>
      </w:r>
      <w:r w:rsidR="00347035">
        <w:rPr>
          <w:rFonts w:ascii="Times New Roman" w:hAnsi="Times New Roman" w:cs="Times New Roman"/>
          <w:i/>
          <w:iCs/>
          <w:sz w:val="24"/>
          <w:szCs w:val="24"/>
          <w:lang w:val="en-ZA"/>
        </w:rPr>
        <w:t xml:space="preserve"> respondent’s FNB accounts without the applicant’s prior written consent.”</w:t>
      </w:r>
    </w:p>
    <w:p w14:paraId="1B972A1A" w14:textId="1136D5FB" w:rsidR="00347035" w:rsidRDefault="00347035" w:rsidP="00347035">
      <w:pPr>
        <w:spacing w:after="0" w:line="360" w:lineRule="auto"/>
        <w:ind w:right="1008"/>
        <w:jc w:val="both"/>
        <w:rPr>
          <w:rFonts w:ascii="Times New Roman" w:hAnsi="Times New Roman" w:cs="Times New Roman"/>
          <w:i/>
          <w:iCs/>
          <w:sz w:val="24"/>
          <w:szCs w:val="24"/>
          <w:lang w:val="en-ZA"/>
        </w:rPr>
      </w:pPr>
    </w:p>
    <w:p w14:paraId="7FBBA9F0" w14:textId="6444B7CD" w:rsidR="00347035" w:rsidRDefault="00347035" w:rsidP="0034703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C33FC">
        <w:rPr>
          <w:rFonts w:ascii="Times New Roman" w:hAnsi="Times New Roman" w:cs="Times New Roman"/>
          <w:sz w:val="28"/>
          <w:szCs w:val="28"/>
          <w:lang w:val="en-ZA"/>
        </w:rPr>
        <w:t>20</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terms of the prayer are </w:t>
      </w:r>
      <w:r w:rsidR="00005B80">
        <w:rPr>
          <w:rFonts w:ascii="Times New Roman" w:hAnsi="Times New Roman" w:cs="Times New Roman"/>
          <w:sz w:val="28"/>
          <w:szCs w:val="28"/>
          <w:lang w:val="en-ZA"/>
        </w:rPr>
        <w:t>clear;</w:t>
      </w:r>
      <w:r>
        <w:rPr>
          <w:rFonts w:ascii="Times New Roman" w:hAnsi="Times New Roman" w:cs="Times New Roman"/>
          <w:sz w:val="28"/>
          <w:szCs w:val="28"/>
          <w:lang w:val="en-ZA"/>
        </w:rPr>
        <w:t xml:space="preserve"> it relates to </w:t>
      </w:r>
      <w:r w:rsidR="00005B80">
        <w:rPr>
          <w:rFonts w:ascii="Times New Roman" w:hAnsi="Times New Roman" w:cs="Times New Roman"/>
          <w:sz w:val="28"/>
          <w:szCs w:val="28"/>
          <w:lang w:val="en-ZA"/>
        </w:rPr>
        <w:t xml:space="preserve">the </w:t>
      </w:r>
      <w:r>
        <w:rPr>
          <w:rFonts w:ascii="Times New Roman" w:hAnsi="Times New Roman" w:cs="Times New Roman"/>
          <w:sz w:val="28"/>
          <w:szCs w:val="28"/>
          <w:lang w:val="en-ZA"/>
        </w:rPr>
        <w:t>reversal of payments made from Platinum Credit Limited’s account on 14 July 2022.  It is common cause that on this date the 1</w:t>
      </w:r>
      <w:r w:rsidRPr="0034703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applicant’s</w:t>
      </w:r>
      <w:r w:rsidR="00FB68EF">
        <w:rPr>
          <w:rFonts w:ascii="Times New Roman" w:hAnsi="Times New Roman" w:cs="Times New Roman"/>
          <w:sz w:val="28"/>
          <w:szCs w:val="28"/>
          <w:lang w:val="en-ZA"/>
        </w:rPr>
        <w:t xml:space="preserve"> account was already under the respondent’s self-imposed </w:t>
      </w:r>
      <w:r w:rsidR="00005B80">
        <w:rPr>
          <w:rFonts w:ascii="Times New Roman" w:hAnsi="Times New Roman" w:cs="Times New Roman"/>
          <w:sz w:val="28"/>
          <w:szCs w:val="28"/>
          <w:lang w:val="en-ZA"/>
        </w:rPr>
        <w:t xml:space="preserve">temporary </w:t>
      </w:r>
      <w:r w:rsidR="00FB68EF">
        <w:rPr>
          <w:rFonts w:ascii="Times New Roman" w:hAnsi="Times New Roman" w:cs="Times New Roman"/>
          <w:sz w:val="28"/>
          <w:szCs w:val="28"/>
          <w:lang w:val="en-ZA"/>
        </w:rPr>
        <w:t>freeze.  This court order had nothing to do with the payments made by Platinum Credit Limited to the 1</w:t>
      </w:r>
      <w:r w:rsidR="00FB68EF" w:rsidRPr="00FB68EF">
        <w:rPr>
          <w:rFonts w:ascii="Times New Roman" w:hAnsi="Times New Roman" w:cs="Times New Roman"/>
          <w:sz w:val="28"/>
          <w:szCs w:val="28"/>
          <w:vertAlign w:val="superscript"/>
          <w:lang w:val="en-ZA"/>
        </w:rPr>
        <w:t>st</w:t>
      </w:r>
      <w:r w:rsidR="00FB68EF">
        <w:rPr>
          <w:rFonts w:ascii="Times New Roman" w:hAnsi="Times New Roman" w:cs="Times New Roman"/>
          <w:sz w:val="28"/>
          <w:szCs w:val="28"/>
          <w:lang w:val="en-ZA"/>
        </w:rPr>
        <w:t xml:space="preserve"> applicant as it was made prior to the date set in the court order.  There </w:t>
      </w:r>
      <w:r w:rsidR="00A46C60">
        <w:rPr>
          <w:rFonts w:ascii="Times New Roman" w:hAnsi="Times New Roman" w:cs="Times New Roman"/>
          <w:sz w:val="28"/>
          <w:szCs w:val="28"/>
          <w:lang w:val="en-ZA"/>
        </w:rPr>
        <w:t>was,</w:t>
      </w:r>
      <w:r w:rsidR="00FB68EF">
        <w:rPr>
          <w:rFonts w:ascii="Times New Roman" w:hAnsi="Times New Roman" w:cs="Times New Roman"/>
          <w:sz w:val="28"/>
          <w:szCs w:val="28"/>
          <w:lang w:val="en-ZA"/>
        </w:rPr>
        <w:t xml:space="preserve"> therefore, no lawful basis on which the respondent had frozen the funds in the bank account of the 1</w:t>
      </w:r>
      <w:r w:rsidR="00FB68EF" w:rsidRPr="00FB68EF">
        <w:rPr>
          <w:rFonts w:ascii="Times New Roman" w:hAnsi="Times New Roman" w:cs="Times New Roman"/>
          <w:sz w:val="28"/>
          <w:szCs w:val="28"/>
          <w:vertAlign w:val="superscript"/>
          <w:lang w:val="en-ZA"/>
        </w:rPr>
        <w:t>st</w:t>
      </w:r>
      <w:r w:rsidR="00FB68EF">
        <w:rPr>
          <w:rFonts w:ascii="Times New Roman" w:hAnsi="Times New Roman" w:cs="Times New Roman"/>
          <w:sz w:val="28"/>
          <w:szCs w:val="28"/>
          <w:lang w:val="en-ZA"/>
        </w:rPr>
        <w:t xml:space="preserve"> applicant.</w:t>
      </w:r>
    </w:p>
    <w:p w14:paraId="424AFF5F" w14:textId="5233C6C3" w:rsidR="00FB68EF" w:rsidRDefault="00FB68EF" w:rsidP="00FB68EF">
      <w:pPr>
        <w:spacing w:after="0" w:line="360" w:lineRule="auto"/>
        <w:jc w:val="both"/>
        <w:rPr>
          <w:rFonts w:ascii="Times New Roman" w:hAnsi="Times New Roman" w:cs="Times New Roman"/>
          <w:sz w:val="28"/>
          <w:szCs w:val="28"/>
          <w:lang w:val="en-ZA"/>
        </w:rPr>
      </w:pPr>
    </w:p>
    <w:p w14:paraId="275D0C38" w14:textId="625B72DF" w:rsidR="00FB68EF" w:rsidRDefault="00FB68EF" w:rsidP="00C77FC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042EE">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r>
      <w:r w:rsidR="00C77FC1">
        <w:rPr>
          <w:rFonts w:ascii="Times New Roman" w:hAnsi="Times New Roman" w:cs="Times New Roman"/>
          <w:sz w:val="28"/>
          <w:szCs w:val="28"/>
          <w:lang w:val="en-ZA"/>
        </w:rPr>
        <w:t>I would have no problem granting the declarators sought in Prayers 1 and 2 of the Notice of Motion.  I do</w:t>
      </w:r>
      <w:r w:rsidR="00536A17">
        <w:rPr>
          <w:rFonts w:ascii="Times New Roman" w:hAnsi="Times New Roman" w:cs="Times New Roman"/>
          <w:sz w:val="28"/>
          <w:szCs w:val="28"/>
          <w:lang w:val="en-ZA"/>
        </w:rPr>
        <w:t>,</w:t>
      </w:r>
      <w:r w:rsidR="00C77FC1">
        <w:rPr>
          <w:rFonts w:ascii="Times New Roman" w:hAnsi="Times New Roman" w:cs="Times New Roman"/>
          <w:sz w:val="28"/>
          <w:szCs w:val="28"/>
          <w:lang w:val="en-ZA"/>
        </w:rPr>
        <w:t xml:space="preserve"> however, have serious difficulty granting </w:t>
      </w:r>
      <w:r w:rsidR="009D1FCA">
        <w:rPr>
          <w:rFonts w:ascii="Times New Roman" w:hAnsi="Times New Roman" w:cs="Times New Roman"/>
          <w:sz w:val="28"/>
          <w:szCs w:val="28"/>
          <w:lang w:val="en-ZA"/>
        </w:rPr>
        <w:t>Prayer 3 because the funds have been reversed and credited to Platinum Credit Limited’s bank account.  The funds to which the 1</w:t>
      </w:r>
      <w:r w:rsidR="009D1FCA" w:rsidRPr="009D1FCA">
        <w:rPr>
          <w:rFonts w:ascii="Times New Roman" w:hAnsi="Times New Roman" w:cs="Times New Roman"/>
          <w:sz w:val="28"/>
          <w:szCs w:val="28"/>
          <w:vertAlign w:val="superscript"/>
          <w:lang w:val="en-ZA"/>
        </w:rPr>
        <w:t>st</w:t>
      </w:r>
      <w:r w:rsidR="009D1FCA">
        <w:rPr>
          <w:rFonts w:ascii="Times New Roman" w:hAnsi="Times New Roman" w:cs="Times New Roman"/>
          <w:sz w:val="28"/>
          <w:szCs w:val="28"/>
          <w:lang w:val="en-ZA"/>
        </w:rPr>
        <w:t xml:space="preserve"> applicant is referring to will only be made available to it through a fresh mandate from Platinum Credit Limited.  The 3</w:t>
      </w:r>
      <w:r w:rsidR="009D1FCA" w:rsidRPr="009D1FCA">
        <w:rPr>
          <w:rFonts w:ascii="Times New Roman" w:hAnsi="Times New Roman" w:cs="Times New Roman"/>
          <w:sz w:val="28"/>
          <w:szCs w:val="28"/>
          <w:vertAlign w:val="superscript"/>
          <w:lang w:val="en-ZA"/>
        </w:rPr>
        <w:t>rd</w:t>
      </w:r>
      <w:r w:rsidR="009D1FCA">
        <w:rPr>
          <w:rFonts w:ascii="Times New Roman" w:hAnsi="Times New Roman" w:cs="Times New Roman"/>
          <w:sz w:val="28"/>
          <w:szCs w:val="28"/>
          <w:lang w:val="en-ZA"/>
        </w:rPr>
        <w:t xml:space="preserve"> applicant should approach Platinum Credit Limited and arrange with it to have its payment processed.  I do not see any difficulty in this course of action</w:t>
      </w:r>
      <w:r w:rsidR="00A46C60">
        <w:rPr>
          <w:rFonts w:ascii="Times New Roman" w:hAnsi="Times New Roman" w:cs="Times New Roman"/>
          <w:sz w:val="28"/>
          <w:szCs w:val="28"/>
          <w:lang w:val="en-ZA"/>
        </w:rPr>
        <w:t xml:space="preserve"> being successful as the 3</w:t>
      </w:r>
      <w:r w:rsidR="00A46C60" w:rsidRPr="00A46C60">
        <w:rPr>
          <w:rFonts w:ascii="Times New Roman" w:hAnsi="Times New Roman" w:cs="Times New Roman"/>
          <w:sz w:val="28"/>
          <w:szCs w:val="28"/>
          <w:vertAlign w:val="superscript"/>
          <w:lang w:val="en-ZA"/>
        </w:rPr>
        <w:t>rd</w:t>
      </w:r>
      <w:r w:rsidR="00A46C60">
        <w:rPr>
          <w:rFonts w:ascii="Times New Roman" w:hAnsi="Times New Roman" w:cs="Times New Roman"/>
          <w:sz w:val="28"/>
          <w:szCs w:val="28"/>
          <w:lang w:val="en-ZA"/>
        </w:rPr>
        <w:t xml:space="preserve"> applicant is owed by Platinum Credit Limited f</w:t>
      </w:r>
      <w:r w:rsidR="006042EE">
        <w:rPr>
          <w:rFonts w:ascii="Times New Roman" w:hAnsi="Times New Roman" w:cs="Times New Roman"/>
          <w:sz w:val="28"/>
          <w:szCs w:val="28"/>
          <w:lang w:val="en-ZA"/>
        </w:rPr>
        <w:t>or</w:t>
      </w:r>
      <w:r w:rsidR="00A46C60">
        <w:rPr>
          <w:rFonts w:ascii="Times New Roman" w:hAnsi="Times New Roman" w:cs="Times New Roman"/>
          <w:sz w:val="28"/>
          <w:szCs w:val="28"/>
          <w:lang w:val="en-ZA"/>
        </w:rPr>
        <w:t xml:space="preserve"> the </w:t>
      </w:r>
      <w:r w:rsidR="006042EE">
        <w:rPr>
          <w:rFonts w:ascii="Times New Roman" w:hAnsi="Times New Roman" w:cs="Times New Roman"/>
          <w:sz w:val="28"/>
          <w:szCs w:val="28"/>
          <w:lang w:val="en-ZA"/>
        </w:rPr>
        <w:t>services</w:t>
      </w:r>
      <w:r w:rsidR="00A46C60">
        <w:rPr>
          <w:rFonts w:ascii="Times New Roman" w:hAnsi="Times New Roman" w:cs="Times New Roman"/>
          <w:sz w:val="28"/>
          <w:szCs w:val="28"/>
          <w:lang w:val="en-ZA"/>
        </w:rPr>
        <w:t xml:space="preserve"> </w:t>
      </w:r>
      <w:r w:rsidR="006042EE">
        <w:rPr>
          <w:rFonts w:ascii="Times New Roman" w:hAnsi="Times New Roman" w:cs="Times New Roman"/>
          <w:sz w:val="28"/>
          <w:szCs w:val="28"/>
          <w:lang w:val="en-ZA"/>
        </w:rPr>
        <w:t>rendered</w:t>
      </w:r>
      <w:r w:rsidR="00A46C60">
        <w:rPr>
          <w:rFonts w:ascii="Times New Roman" w:hAnsi="Times New Roman" w:cs="Times New Roman"/>
          <w:sz w:val="28"/>
          <w:szCs w:val="28"/>
          <w:lang w:val="en-ZA"/>
        </w:rPr>
        <w:t>.</w:t>
      </w:r>
    </w:p>
    <w:p w14:paraId="605AEF65" w14:textId="1B9EEEDA" w:rsidR="00A46C60" w:rsidRDefault="00A46C60" w:rsidP="00C77FC1">
      <w:pPr>
        <w:spacing w:after="0" w:line="360" w:lineRule="auto"/>
        <w:ind w:left="720" w:hanging="720"/>
        <w:jc w:val="both"/>
        <w:rPr>
          <w:rFonts w:ascii="Times New Roman" w:hAnsi="Times New Roman" w:cs="Times New Roman"/>
          <w:sz w:val="28"/>
          <w:szCs w:val="28"/>
          <w:lang w:val="en-ZA"/>
        </w:rPr>
      </w:pPr>
    </w:p>
    <w:p w14:paraId="3B3DF005" w14:textId="78D0DC80" w:rsidR="00A46C60" w:rsidRDefault="00A46C60" w:rsidP="00C77FC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21C67">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2BAADFE6" w14:textId="555C4ACD" w:rsidR="00A46C60" w:rsidRDefault="00A46C60" w:rsidP="00C77FC1">
      <w:pPr>
        <w:spacing w:after="0" w:line="360" w:lineRule="auto"/>
        <w:ind w:left="720" w:hanging="720"/>
        <w:jc w:val="both"/>
        <w:rPr>
          <w:rFonts w:ascii="Times New Roman" w:hAnsi="Times New Roman" w:cs="Times New Roman"/>
          <w:sz w:val="28"/>
          <w:szCs w:val="28"/>
          <w:lang w:val="en-ZA"/>
        </w:rPr>
      </w:pPr>
    </w:p>
    <w:p w14:paraId="50AE88EB" w14:textId="4A72C3A6" w:rsidR="00A46C60" w:rsidRDefault="00A46C60" w:rsidP="00A46C60">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It is declared that the freezing of the 1</w:t>
      </w:r>
      <w:r w:rsidRPr="00A46C6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applicant’s bank account 62926685458 by the respondent on the 06</w:t>
      </w:r>
      <w:r w:rsidRPr="00A46C60">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July 2022 was irregular and unlawful.</w:t>
      </w:r>
    </w:p>
    <w:p w14:paraId="2FC88768" w14:textId="77777777" w:rsidR="00A46C60" w:rsidRDefault="00A46C60" w:rsidP="00A46C60">
      <w:pPr>
        <w:pStyle w:val="ListParagraph"/>
        <w:spacing w:after="0" w:line="360" w:lineRule="auto"/>
        <w:ind w:left="1080"/>
        <w:jc w:val="both"/>
        <w:rPr>
          <w:rFonts w:ascii="Times New Roman" w:hAnsi="Times New Roman" w:cs="Times New Roman"/>
          <w:sz w:val="28"/>
          <w:szCs w:val="28"/>
          <w:lang w:val="en-ZA"/>
        </w:rPr>
      </w:pPr>
    </w:p>
    <w:p w14:paraId="23DA9F1E" w14:textId="273B3EF7" w:rsidR="00A46C60" w:rsidRDefault="00A46C60" w:rsidP="00A46C60">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It is declared that the reversal of the credit amount of M1,882,856.43 on the 07</w:t>
      </w:r>
      <w:r w:rsidRPr="00A46C60">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July 2022 was irregular and unlawful.</w:t>
      </w:r>
    </w:p>
    <w:p w14:paraId="2CDF462A" w14:textId="77777777" w:rsidR="00A46C60" w:rsidRPr="00A46C60" w:rsidRDefault="00A46C60" w:rsidP="00A46C60">
      <w:pPr>
        <w:pStyle w:val="ListParagraph"/>
        <w:rPr>
          <w:rFonts w:ascii="Times New Roman" w:hAnsi="Times New Roman" w:cs="Times New Roman"/>
          <w:sz w:val="28"/>
          <w:szCs w:val="28"/>
          <w:lang w:val="en-ZA"/>
        </w:rPr>
      </w:pPr>
    </w:p>
    <w:p w14:paraId="26EB5316" w14:textId="2F449BC5" w:rsidR="00A46C60" w:rsidRDefault="00A46C60" w:rsidP="00A46C60">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respondent should pay the costs of suit on</w:t>
      </w:r>
      <w:r w:rsidR="00221B08">
        <w:rPr>
          <w:rFonts w:ascii="Times New Roman" w:hAnsi="Times New Roman" w:cs="Times New Roman"/>
          <w:sz w:val="28"/>
          <w:szCs w:val="28"/>
          <w:lang w:val="en-ZA"/>
        </w:rPr>
        <w:t xml:space="preserve"> the</w:t>
      </w:r>
      <w:r>
        <w:rPr>
          <w:rFonts w:ascii="Times New Roman" w:hAnsi="Times New Roman" w:cs="Times New Roman"/>
          <w:sz w:val="28"/>
          <w:szCs w:val="28"/>
          <w:lang w:val="en-ZA"/>
        </w:rPr>
        <w:t xml:space="preserve"> ordinary scale.</w:t>
      </w:r>
    </w:p>
    <w:p w14:paraId="699FDFE9" w14:textId="70A7D88D" w:rsidR="00A46C60" w:rsidRDefault="00A46C60" w:rsidP="00A46C60">
      <w:pPr>
        <w:spacing w:after="0" w:line="360" w:lineRule="auto"/>
        <w:jc w:val="both"/>
        <w:rPr>
          <w:rFonts w:ascii="Times New Roman" w:hAnsi="Times New Roman" w:cs="Times New Roman"/>
          <w:sz w:val="28"/>
          <w:szCs w:val="28"/>
          <w:lang w:val="en-ZA"/>
        </w:rPr>
      </w:pPr>
    </w:p>
    <w:p w14:paraId="722B9873" w14:textId="77777777" w:rsidR="00861ECA" w:rsidRDefault="00861ECA" w:rsidP="00A46C60">
      <w:pPr>
        <w:spacing w:after="0" w:line="360" w:lineRule="auto"/>
        <w:jc w:val="both"/>
        <w:rPr>
          <w:rFonts w:ascii="Times New Roman" w:hAnsi="Times New Roman" w:cs="Times New Roman"/>
          <w:sz w:val="28"/>
          <w:szCs w:val="28"/>
          <w:lang w:val="en-ZA"/>
        </w:rPr>
      </w:pPr>
    </w:p>
    <w:p w14:paraId="027539AD" w14:textId="42F1213F" w:rsidR="00A46C60" w:rsidRDefault="00A46C60" w:rsidP="00536A17">
      <w:pPr>
        <w:spacing w:after="0" w:line="240" w:lineRule="auto"/>
        <w:jc w:val="both"/>
        <w:rPr>
          <w:rFonts w:ascii="Times New Roman" w:hAnsi="Times New Roman" w:cs="Times New Roman"/>
          <w:sz w:val="28"/>
          <w:szCs w:val="28"/>
          <w:lang w:val="en-ZA"/>
        </w:rPr>
      </w:pPr>
    </w:p>
    <w:p w14:paraId="37954BC6" w14:textId="7588B541" w:rsidR="004D4B77" w:rsidRDefault="004D4B77" w:rsidP="00536A17">
      <w:pPr>
        <w:spacing w:after="0" w:line="240" w:lineRule="auto"/>
        <w:jc w:val="both"/>
        <w:rPr>
          <w:rFonts w:ascii="Times New Roman" w:hAnsi="Times New Roman" w:cs="Times New Roman"/>
          <w:sz w:val="28"/>
          <w:szCs w:val="28"/>
          <w:lang w:val="en-ZA"/>
        </w:rPr>
      </w:pPr>
    </w:p>
    <w:p w14:paraId="189E8603" w14:textId="1487DD43" w:rsidR="004D4B77" w:rsidRDefault="004D4B77" w:rsidP="00536A17">
      <w:pPr>
        <w:spacing w:after="0" w:line="240" w:lineRule="auto"/>
        <w:jc w:val="both"/>
        <w:rPr>
          <w:rFonts w:ascii="Times New Roman" w:hAnsi="Times New Roman" w:cs="Times New Roman"/>
          <w:sz w:val="28"/>
          <w:szCs w:val="28"/>
          <w:lang w:val="en-ZA"/>
        </w:rPr>
      </w:pPr>
    </w:p>
    <w:p w14:paraId="3B400159" w14:textId="21807B0A" w:rsidR="004D4B77" w:rsidRDefault="004D4B77" w:rsidP="00536A17">
      <w:pPr>
        <w:spacing w:after="0" w:line="240" w:lineRule="auto"/>
        <w:jc w:val="both"/>
        <w:rPr>
          <w:rFonts w:ascii="Times New Roman" w:hAnsi="Times New Roman" w:cs="Times New Roman"/>
          <w:sz w:val="28"/>
          <w:szCs w:val="28"/>
          <w:lang w:val="en-ZA"/>
        </w:rPr>
      </w:pPr>
    </w:p>
    <w:p w14:paraId="58FD01F4" w14:textId="7D40C6E0" w:rsidR="004D4B77" w:rsidRDefault="004D4B77" w:rsidP="00536A17">
      <w:pPr>
        <w:spacing w:after="0" w:line="240" w:lineRule="auto"/>
        <w:jc w:val="both"/>
        <w:rPr>
          <w:rFonts w:ascii="Times New Roman" w:hAnsi="Times New Roman" w:cs="Times New Roman"/>
          <w:sz w:val="28"/>
          <w:szCs w:val="28"/>
          <w:lang w:val="en-ZA"/>
        </w:rPr>
      </w:pPr>
    </w:p>
    <w:p w14:paraId="391A8C64" w14:textId="77777777" w:rsidR="004D4B77" w:rsidRDefault="004D4B77" w:rsidP="00536A17">
      <w:pPr>
        <w:spacing w:after="0" w:line="240" w:lineRule="auto"/>
        <w:jc w:val="both"/>
        <w:rPr>
          <w:rFonts w:ascii="Times New Roman" w:hAnsi="Times New Roman" w:cs="Times New Roman"/>
          <w:sz w:val="28"/>
          <w:szCs w:val="28"/>
          <w:lang w:val="en-ZA"/>
        </w:rPr>
      </w:pPr>
    </w:p>
    <w:p w14:paraId="334B0AFA" w14:textId="2FAC310D" w:rsidR="00A46C60" w:rsidRDefault="00A46C60" w:rsidP="00A46C60">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_________________________</w:t>
      </w:r>
    </w:p>
    <w:p w14:paraId="7D9157C6" w14:textId="7BE28986" w:rsidR="00A46C60" w:rsidRDefault="00A46C60" w:rsidP="00A46C60">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4DAA1E4C" w14:textId="170B3C38" w:rsidR="00A46C60" w:rsidRDefault="00A46C60" w:rsidP="00536A17">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Applicants:</w:t>
      </w:r>
      <w:r>
        <w:rPr>
          <w:rFonts w:ascii="Times New Roman" w:hAnsi="Times New Roman" w:cs="Times New Roman"/>
          <w:b/>
          <w:bCs/>
          <w:sz w:val="28"/>
          <w:szCs w:val="28"/>
          <w:lang w:val="en-ZA"/>
        </w:rPr>
        <w:tab/>
        <w:t xml:space="preserve">Adv. T. Mpaka from Du Preez, Liebetrau &amp; Co. Attorneys </w:t>
      </w:r>
    </w:p>
    <w:p w14:paraId="2511FC8C" w14:textId="77777777" w:rsidR="00536A17" w:rsidRDefault="00536A17" w:rsidP="00536A17">
      <w:pPr>
        <w:spacing w:after="0" w:line="240" w:lineRule="auto"/>
        <w:ind w:left="2880" w:hanging="2880"/>
        <w:jc w:val="both"/>
        <w:rPr>
          <w:rFonts w:ascii="Times New Roman" w:hAnsi="Times New Roman" w:cs="Times New Roman"/>
          <w:b/>
          <w:bCs/>
          <w:sz w:val="28"/>
          <w:szCs w:val="28"/>
          <w:lang w:val="en-ZA"/>
        </w:rPr>
      </w:pPr>
    </w:p>
    <w:p w14:paraId="03CE00A1" w14:textId="397A3D36" w:rsidR="00A46C60" w:rsidRPr="00A46C60" w:rsidRDefault="00A46C60" w:rsidP="00A46C60">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Respondent:</w:t>
      </w:r>
      <w:r>
        <w:rPr>
          <w:rFonts w:ascii="Times New Roman" w:hAnsi="Times New Roman" w:cs="Times New Roman"/>
          <w:b/>
          <w:bCs/>
          <w:sz w:val="28"/>
          <w:szCs w:val="28"/>
          <w:lang w:val="en-ZA"/>
        </w:rPr>
        <w:tab/>
        <w:t>Adv. S. Shale instructed by DR. I. M.</w:t>
      </w:r>
      <w:r w:rsidR="003669D5">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P</w:t>
      </w:r>
      <w:r w:rsidR="003669D5">
        <w:rPr>
          <w:rFonts w:ascii="Times New Roman" w:hAnsi="Times New Roman" w:cs="Times New Roman"/>
          <w:b/>
          <w:bCs/>
          <w:sz w:val="28"/>
          <w:szCs w:val="28"/>
          <w:lang w:val="en-ZA"/>
        </w:rPr>
        <w:t xml:space="preserve"> Shale Attorneys</w:t>
      </w:r>
    </w:p>
    <w:p w14:paraId="12E579BF" w14:textId="77777777" w:rsidR="00A46C60" w:rsidRPr="00A46C60" w:rsidRDefault="00A46C60" w:rsidP="00A46C60">
      <w:pPr>
        <w:spacing w:after="0" w:line="360" w:lineRule="auto"/>
        <w:jc w:val="both"/>
        <w:rPr>
          <w:rFonts w:ascii="Times New Roman" w:hAnsi="Times New Roman" w:cs="Times New Roman"/>
          <w:sz w:val="28"/>
          <w:szCs w:val="28"/>
          <w:lang w:val="en-ZA"/>
        </w:rPr>
      </w:pPr>
    </w:p>
    <w:p w14:paraId="5472D237" w14:textId="77777777" w:rsidR="004C4E14" w:rsidRPr="004C4E14" w:rsidRDefault="004C4E14" w:rsidP="004C4E14">
      <w:pPr>
        <w:pStyle w:val="ListParagraph"/>
        <w:rPr>
          <w:rFonts w:ascii="Times New Roman" w:hAnsi="Times New Roman" w:cs="Times New Roman"/>
          <w:sz w:val="28"/>
          <w:szCs w:val="28"/>
          <w:lang w:val="en-ZA"/>
        </w:rPr>
      </w:pPr>
    </w:p>
    <w:p w14:paraId="52D51AD2" w14:textId="77777777" w:rsidR="004C4E14" w:rsidRPr="004C4E14" w:rsidRDefault="004C4E14" w:rsidP="004C4E14">
      <w:pPr>
        <w:spacing w:after="0" w:line="360" w:lineRule="auto"/>
        <w:ind w:right="1008"/>
        <w:jc w:val="both"/>
        <w:rPr>
          <w:rFonts w:ascii="Times New Roman" w:hAnsi="Times New Roman" w:cs="Times New Roman"/>
          <w:sz w:val="28"/>
          <w:szCs w:val="28"/>
          <w:lang w:val="en-ZA"/>
        </w:rPr>
      </w:pPr>
    </w:p>
    <w:p w14:paraId="39B849FA" w14:textId="77777777" w:rsidR="00120B2E" w:rsidRPr="00120B2E" w:rsidRDefault="00120B2E" w:rsidP="00866F7D">
      <w:pPr>
        <w:spacing w:after="0" w:line="360" w:lineRule="auto"/>
        <w:ind w:left="720" w:hanging="720"/>
        <w:jc w:val="both"/>
        <w:rPr>
          <w:rFonts w:ascii="Times New Roman" w:hAnsi="Times New Roman" w:cs="Times New Roman"/>
          <w:sz w:val="28"/>
          <w:szCs w:val="28"/>
          <w:lang w:val="en-ZA"/>
        </w:rPr>
      </w:pPr>
    </w:p>
    <w:p w14:paraId="2B750DDF" w14:textId="6F585219" w:rsidR="00125532" w:rsidRPr="00125532" w:rsidRDefault="00A11324" w:rsidP="00866F7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4AB9FE70" w14:textId="77777777" w:rsidR="006C7A6B" w:rsidRPr="006C7A6B" w:rsidRDefault="006C7A6B" w:rsidP="00850900">
      <w:pPr>
        <w:spacing w:after="0"/>
        <w:jc w:val="both"/>
        <w:rPr>
          <w:rFonts w:ascii="Times New Roman" w:hAnsi="Times New Roman" w:cs="Times New Roman"/>
          <w:b/>
          <w:bCs/>
          <w:sz w:val="28"/>
          <w:szCs w:val="28"/>
          <w:lang w:val="en-ZA"/>
        </w:rPr>
      </w:pPr>
    </w:p>
    <w:sectPr w:rsidR="006C7A6B" w:rsidRPr="006C7A6B" w:rsidSect="003669D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09EC" w14:textId="77777777" w:rsidR="0061214F" w:rsidRDefault="0061214F" w:rsidP="003669D5">
      <w:pPr>
        <w:spacing w:after="0" w:line="240" w:lineRule="auto"/>
      </w:pPr>
      <w:r>
        <w:separator/>
      </w:r>
    </w:p>
  </w:endnote>
  <w:endnote w:type="continuationSeparator" w:id="0">
    <w:p w14:paraId="47D2B032" w14:textId="77777777" w:rsidR="0061214F" w:rsidRDefault="0061214F" w:rsidP="0036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33386"/>
      <w:docPartObj>
        <w:docPartGallery w:val="Page Numbers (Bottom of Page)"/>
        <w:docPartUnique/>
      </w:docPartObj>
    </w:sdtPr>
    <w:sdtEndPr>
      <w:rPr>
        <w:noProof/>
      </w:rPr>
    </w:sdtEndPr>
    <w:sdtContent>
      <w:p w14:paraId="41556ABE" w14:textId="0A420FE5" w:rsidR="003669D5" w:rsidRDefault="00366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7DA87" w14:textId="77777777" w:rsidR="003669D5" w:rsidRDefault="0036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85EE" w14:textId="77777777" w:rsidR="0061214F" w:rsidRDefault="0061214F" w:rsidP="003669D5">
      <w:pPr>
        <w:spacing w:after="0" w:line="240" w:lineRule="auto"/>
      </w:pPr>
      <w:r>
        <w:separator/>
      </w:r>
    </w:p>
  </w:footnote>
  <w:footnote w:type="continuationSeparator" w:id="0">
    <w:p w14:paraId="033CA6C1" w14:textId="77777777" w:rsidR="0061214F" w:rsidRDefault="0061214F" w:rsidP="00366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76DB7"/>
    <w:multiLevelType w:val="hybridMultilevel"/>
    <w:tmpl w:val="14648C2C"/>
    <w:lvl w:ilvl="0" w:tplc="91FCF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200D9E"/>
    <w:multiLevelType w:val="hybridMultilevel"/>
    <w:tmpl w:val="E8C6886E"/>
    <w:lvl w:ilvl="0" w:tplc="F8242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608E2"/>
    <w:multiLevelType w:val="hybridMultilevel"/>
    <w:tmpl w:val="EF228084"/>
    <w:lvl w:ilvl="0" w:tplc="81AAF48A">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A7532"/>
    <w:multiLevelType w:val="hybridMultilevel"/>
    <w:tmpl w:val="A438A77E"/>
    <w:lvl w:ilvl="0" w:tplc="089A7F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A05F96"/>
    <w:multiLevelType w:val="hybridMultilevel"/>
    <w:tmpl w:val="91EEFD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00"/>
    <w:rsid w:val="00005B80"/>
    <w:rsid w:val="00013945"/>
    <w:rsid w:val="000151AF"/>
    <w:rsid w:val="000164EE"/>
    <w:rsid w:val="00020F66"/>
    <w:rsid w:val="00041FEC"/>
    <w:rsid w:val="00046057"/>
    <w:rsid w:val="000663A3"/>
    <w:rsid w:val="0007585C"/>
    <w:rsid w:val="000770B4"/>
    <w:rsid w:val="000772AC"/>
    <w:rsid w:val="000A20C5"/>
    <w:rsid w:val="000C0E08"/>
    <w:rsid w:val="000D0AA5"/>
    <w:rsid w:val="000D1DE7"/>
    <w:rsid w:val="000D37CC"/>
    <w:rsid w:val="000E1873"/>
    <w:rsid w:val="000F3980"/>
    <w:rsid w:val="0011108C"/>
    <w:rsid w:val="00120B2E"/>
    <w:rsid w:val="00121E6D"/>
    <w:rsid w:val="00124199"/>
    <w:rsid w:val="00125532"/>
    <w:rsid w:val="00127D37"/>
    <w:rsid w:val="001310EB"/>
    <w:rsid w:val="00131E40"/>
    <w:rsid w:val="00132DBA"/>
    <w:rsid w:val="00147FC4"/>
    <w:rsid w:val="00154753"/>
    <w:rsid w:val="00154F0D"/>
    <w:rsid w:val="00163783"/>
    <w:rsid w:val="00164543"/>
    <w:rsid w:val="00176003"/>
    <w:rsid w:val="00181083"/>
    <w:rsid w:val="00194F7D"/>
    <w:rsid w:val="001A50C6"/>
    <w:rsid w:val="001B6A37"/>
    <w:rsid w:val="001B7332"/>
    <w:rsid w:val="001D197E"/>
    <w:rsid w:val="001D4F09"/>
    <w:rsid w:val="001D79C0"/>
    <w:rsid w:val="001E13CC"/>
    <w:rsid w:val="001F35D5"/>
    <w:rsid w:val="00203C27"/>
    <w:rsid w:val="00206529"/>
    <w:rsid w:val="00211A90"/>
    <w:rsid w:val="00215D35"/>
    <w:rsid w:val="00216380"/>
    <w:rsid w:val="00221B08"/>
    <w:rsid w:val="00241D7E"/>
    <w:rsid w:val="00256291"/>
    <w:rsid w:val="00261515"/>
    <w:rsid w:val="00280EB3"/>
    <w:rsid w:val="00283D26"/>
    <w:rsid w:val="00293CF7"/>
    <w:rsid w:val="002A212B"/>
    <w:rsid w:val="002A2477"/>
    <w:rsid w:val="002B2D24"/>
    <w:rsid w:val="002B5DEB"/>
    <w:rsid w:val="002B69CE"/>
    <w:rsid w:val="002C5EDD"/>
    <w:rsid w:val="002D2686"/>
    <w:rsid w:val="002E52D5"/>
    <w:rsid w:val="002E6780"/>
    <w:rsid w:val="00311B94"/>
    <w:rsid w:val="00321C67"/>
    <w:rsid w:val="003235E3"/>
    <w:rsid w:val="003268A1"/>
    <w:rsid w:val="00327E9E"/>
    <w:rsid w:val="00342B0B"/>
    <w:rsid w:val="00344ED4"/>
    <w:rsid w:val="00347035"/>
    <w:rsid w:val="00355585"/>
    <w:rsid w:val="00356699"/>
    <w:rsid w:val="00361050"/>
    <w:rsid w:val="00365308"/>
    <w:rsid w:val="003669D5"/>
    <w:rsid w:val="003860FE"/>
    <w:rsid w:val="0039014B"/>
    <w:rsid w:val="00396203"/>
    <w:rsid w:val="0039758D"/>
    <w:rsid w:val="003A04B5"/>
    <w:rsid w:val="003E23DC"/>
    <w:rsid w:val="00422558"/>
    <w:rsid w:val="00437E2C"/>
    <w:rsid w:val="004464FA"/>
    <w:rsid w:val="004550D7"/>
    <w:rsid w:val="00464591"/>
    <w:rsid w:val="004776F5"/>
    <w:rsid w:val="0048110B"/>
    <w:rsid w:val="0048454B"/>
    <w:rsid w:val="00485F13"/>
    <w:rsid w:val="004864DC"/>
    <w:rsid w:val="004A6E0B"/>
    <w:rsid w:val="004B4088"/>
    <w:rsid w:val="004C020F"/>
    <w:rsid w:val="004C0F9A"/>
    <w:rsid w:val="004C4E14"/>
    <w:rsid w:val="004D1FA2"/>
    <w:rsid w:val="004D359A"/>
    <w:rsid w:val="004D4B77"/>
    <w:rsid w:val="004F342B"/>
    <w:rsid w:val="004F48F3"/>
    <w:rsid w:val="00511A98"/>
    <w:rsid w:val="00516531"/>
    <w:rsid w:val="00523D16"/>
    <w:rsid w:val="005279C8"/>
    <w:rsid w:val="00530A2F"/>
    <w:rsid w:val="00530CAD"/>
    <w:rsid w:val="00536A17"/>
    <w:rsid w:val="00542BCC"/>
    <w:rsid w:val="00550853"/>
    <w:rsid w:val="005577AE"/>
    <w:rsid w:val="0057002F"/>
    <w:rsid w:val="00585B62"/>
    <w:rsid w:val="005C105C"/>
    <w:rsid w:val="005C2F6F"/>
    <w:rsid w:val="005C36FC"/>
    <w:rsid w:val="005D4141"/>
    <w:rsid w:val="005E0BE1"/>
    <w:rsid w:val="005E19F2"/>
    <w:rsid w:val="005F2604"/>
    <w:rsid w:val="005F7C79"/>
    <w:rsid w:val="00604271"/>
    <w:rsid w:val="006042EE"/>
    <w:rsid w:val="00606EE1"/>
    <w:rsid w:val="00607848"/>
    <w:rsid w:val="00610435"/>
    <w:rsid w:val="0061214F"/>
    <w:rsid w:val="00620211"/>
    <w:rsid w:val="006202A3"/>
    <w:rsid w:val="00622E22"/>
    <w:rsid w:val="0063193B"/>
    <w:rsid w:val="00631FF2"/>
    <w:rsid w:val="00647092"/>
    <w:rsid w:val="006622BC"/>
    <w:rsid w:val="00664562"/>
    <w:rsid w:val="00664A40"/>
    <w:rsid w:val="00670B8C"/>
    <w:rsid w:val="0067356A"/>
    <w:rsid w:val="006767DC"/>
    <w:rsid w:val="0068248A"/>
    <w:rsid w:val="0068430F"/>
    <w:rsid w:val="006851E1"/>
    <w:rsid w:val="006868C9"/>
    <w:rsid w:val="006972DE"/>
    <w:rsid w:val="006A160D"/>
    <w:rsid w:val="006A1F15"/>
    <w:rsid w:val="006B2469"/>
    <w:rsid w:val="006B4D4E"/>
    <w:rsid w:val="006C10BF"/>
    <w:rsid w:val="006C33FC"/>
    <w:rsid w:val="006C7277"/>
    <w:rsid w:val="006C7A6B"/>
    <w:rsid w:val="006D53A2"/>
    <w:rsid w:val="006F27D6"/>
    <w:rsid w:val="0070101C"/>
    <w:rsid w:val="00710597"/>
    <w:rsid w:val="007206BA"/>
    <w:rsid w:val="007406D4"/>
    <w:rsid w:val="00753D3A"/>
    <w:rsid w:val="00755025"/>
    <w:rsid w:val="00764EC3"/>
    <w:rsid w:val="00766BD4"/>
    <w:rsid w:val="0078794E"/>
    <w:rsid w:val="00790E4A"/>
    <w:rsid w:val="00794223"/>
    <w:rsid w:val="00795E41"/>
    <w:rsid w:val="007A6C37"/>
    <w:rsid w:val="007B2F62"/>
    <w:rsid w:val="007B4217"/>
    <w:rsid w:val="007B6BDA"/>
    <w:rsid w:val="007C3593"/>
    <w:rsid w:val="007C69CE"/>
    <w:rsid w:val="007D1890"/>
    <w:rsid w:val="007E2079"/>
    <w:rsid w:val="007E20C1"/>
    <w:rsid w:val="007E5D71"/>
    <w:rsid w:val="0080338E"/>
    <w:rsid w:val="008045BF"/>
    <w:rsid w:val="00813EC2"/>
    <w:rsid w:val="0081786B"/>
    <w:rsid w:val="00824D11"/>
    <w:rsid w:val="00830DD4"/>
    <w:rsid w:val="00840388"/>
    <w:rsid w:val="00842330"/>
    <w:rsid w:val="008455DA"/>
    <w:rsid w:val="00846372"/>
    <w:rsid w:val="00847D14"/>
    <w:rsid w:val="00850900"/>
    <w:rsid w:val="00860C6C"/>
    <w:rsid w:val="00861ECA"/>
    <w:rsid w:val="00864BA6"/>
    <w:rsid w:val="00866F7D"/>
    <w:rsid w:val="0087066D"/>
    <w:rsid w:val="008727DB"/>
    <w:rsid w:val="00877A55"/>
    <w:rsid w:val="00883F86"/>
    <w:rsid w:val="008872FF"/>
    <w:rsid w:val="008A033E"/>
    <w:rsid w:val="008A3C26"/>
    <w:rsid w:val="008A6478"/>
    <w:rsid w:val="008B3495"/>
    <w:rsid w:val="008D7E7D"/>
    <w:rsid w:val="008F26B1"/>
    <w:rsid w:val="008F5BC2"/>
    <w:rsid w:val="008F7587"/>
    <w:rsid w:val="00904AF7"/>
    <w:rsid w:val="00905225"/>
    <w:rsid w:val="00905C2F"/>
    <w:rsid w:val="00910464"/>
    <w:rsid w:val="00922065"/>
    <w:rsid w:val="00944DAD"/>
    <w:rsid w:val="00954C14"/>
    <w:rsid w:val="00971F41"/>
    <w:rsid w:val="00981696"/>
    <w:rsid w:val="009831EA"/>
    <w:rsid w:val="0098527A"/>
    <w:rsid w:val="00991DA3"/>
    <w:rsid w:val="00997D64"/>
    <w:rsid w:val="009A0DE8"/>
    <w:rsid w:val="009A6902"/>
    <w:rsid w:val="009B072C"/>
    <w:rsid w:val="009C7DA1"/>
    <w:rsid w:val="009D1FCA"/>
    <w:rsid w:val="009D63C5"/>
    <w:rsid w:val="009D774E"/>
    <w:rsid w:val="009D7B29"/>
    <w:rsid w:val="009E01DD"/>
    <w:rsid w:val="009F387F"/>
    <w:rsid w:val="009F776F"/>
    <w:rsid w:val="00A03CDB"/>
    <w:rsid w:val="00A07966"/>
    <w:rsid w:val="00A11324"/>
    <w:rsid w:val="00A122B3"/>
    <w:rsid w:val="00A201F5"/>
    <w:rsid w:val="00A245A8"/>
    <w:rsid w:val="00A26BF2"/>
    <w:rsid w:val="00A32B53"/>
    <w:rsid w:val="00A34A2E"/>
    <w:rsid w:val="00A34F7E"/>
    <w:rsid w:val="00A37808"/>
    <w:rsid w:val="00A42764"/>
    <w:rsid w:val="00A46C60"/>
    <w:rsid w:val="00A60643"/>
    <w:rsid w:val="00A614DE"/>
    <w:rsid w:val="00A71671"/>
    <w:rsid w:val="00A91A14"/>
    <w:rsid w:val="00A938A9"/>
    <w:rsid w:val="00A9647A"/>
    <w:rsid w:val="00AA3839"/>
    <w:rsid w:val="00AA4E6B"/>
    <w:rsid w:val="00AA7162"/>
    <w:rsid w:val="00AA7B71"/>
    <w:rsid w:val="00AB1053"/>
    <w:rsid w:val="00AF2422"/>
    <w:rsid w:val="00AF2F85"/>
    <w:rsid w:val="00AF4A47"/>
    <w:rsid w:val="00AF70FD"/>
    <w:rsid w:val="00B01297"/>
    <w:rsid w:val="00B17D24"/>
    <w:rsid w:val="00B24350"/>
    <w:rsid w:val="00B249C4"/>
    <w:rsid w:val="00B26097"/>
    <w:rsid w:val="00B35E24"/>
    <w:rsid w:val="00B36897"/>
    <w:rsid w:val="00B3777B"/>
    <w:rsid w:val="00B401D7"/>
    <w:rsid w:val="00B52D1C"/>
    <w:rsid w:val="00B61141"/>
    <w:rsid w:val="00B62F36"/>
    <w:rsid w:val="00B76038"/>
    <w:rsid w:val="00B917E1"/>
    <w:rsid w:val="00B97493"/>
    <w:rsid w:val="00BA2312"/>
    <w:rsid w:val="00BA79E0"/>
    <w:rsid w:val="00BA7AE7"/>
    <w:rsid w:val="00BC58B4"/>
    <w:rsid w:val="00BC6BFA"/>
    <w:rsid w:val="00BD2E20"/>
    <w:rsid w:val="00BD364B"/>
    <w:rsid w:val="00BE02A9"/>
    <w:rsid w:val="00BE0A14"/>
    <w:rsid w:val="00BE412D"/>
    <w:rsid w:val="00BE7C5C"/>
    <w:rsid w:val="00BF0A5B"/>
    <w:rsid w:val="00BF100F"/>
    <w:rsid w:val="00BF31E5"/>
    <w:rsid w:val="00C10729"/>
    <w:rsid w:val="00C21C10"/>
    <w:rsid w:val="00C34D21"/>
    <w:rsid w:val="00C42247"/>
    <w:rsid w:val="00C520A2"/>
    <w:rsid w:val="00C61268"/>
    <w:rsid w:val="00C64025"/>
    <w:rsid w:val="00C70C7A"/>
    <w:rsid w:val="00C72AE8"/>
    <w:rsid w:val="00C73086"/>
    <w:rsid w:val="00C77992"/>
    <w:rsid w:val="00C77A56"/>
    <w:rsid w:val="00C77FC1"/>
    <w:rsid w:val="00C850AD"/>
    <w:rsid w:val="00C8725E"/>
    <w:rsid w:val="00CA4488"/>
    <w:rsid w:val="00CA4684"/>
    <w:rsid w:val="00CA6715"/>
    <w:rsid w:val="00CC459B"/>
    <w:rsid w:val="00CC7BE6"/>
    <w:rsid w:val="00CE568C"/>
    <w:rsid w:val="00CF0D74"/>
    <w:rsid w:val="00CF2CB4"/>
    <w:rsid w:val="00CF429F"/>
    <w:rsid w:val="00CF46E1"/>
    <w:rsid w:val="00D010B3"/>
    <w:rsid w:val="00D1391E"/>
    <w:rsid w:val="00D17968"/>
    <w:rsid w:val="00D30A2D"/>
    <w:rsid w:val="00D43F65"/>
    <w:rsid w:val="00D51575"/>
    <w:rsid w:val="00D5233A"/>
    <w:rsid w:val="00D56A2F"/>
    <w:rsid w:val="00D659BE"/>
    <w:rsid w:val="00D71F83"/>
    <w:rsid w:val="00D76328"/>
    <w:rsid w:val="00D76628"/>
    <w:rsid w:val="00D90D00"/>
    <w:rsid w:val="00DA15FF"/>
    <w:rsid w:val="00DB6B49"/>
    <w:rsid w:val="00DB7D4F"/>
    <w:rsid w:val="00DC49D8"/>
    <w:rsid w:val="00DC5637"/>
    <w:rsid w:val="00DD390E"/>
    <w:rsid w:val="00DF78D2"/>
    <w:rsid w:val="00DF7C2E"/>
    <w:rsid w:val="00E1484A"/>
    <w:rsid w:val="00E15A90"/>
    <w:rsid w:val="00E16282"/>
    <w:rsid w:val="00E30BB8"/>
    <w:rsid w:val="00E4360E"/>
    <w:rsid w:val="00E4423A"/>
    <w:rsid w:val="00E46949"/>
    <w:rsid w:val="00E46BD3"/>
    <w:rsid w:val="00E474C4"/>
    <w:rsid w:val="00E70960"/>
    <w:rsid w:val="00E8625B"/>
    <w:rsid w:val="00E86EFB"/>
    <w:rsid w:val="00E92A11"/>
    <w:rsid w:val="00EC08B1"/>
    <w:rsid w:val="00EC6D62"/>
    <w:rsid w:val="00ED478C"/>
    <w:rsid w:val="00EE2AE8"/>
    <w:rsid w:val="00EE40E0"/>
    <w:rsid w:val="00EE455E"/>
    <w:rsid w:val="00EF3677"/>
    <w:rsid w:val="00F01603"/>
    <w:rsid w:val="00F02629"/>
    <w:rsid w:val="00F054DF"/>
    <w:rsid w:val="00F27537"/>
    <w:rsid w:val="00F433D2"/>
    <w:rsid w:val="00F6209D"/>
    <w:rsid w:val="00F972FB"/>
    <w:rsid w:val="00FA16B7"/>
    <w:rsid w:val="00FA4715"/>
    <w:rsid w:val="00FB68EF"/>
    <w:rsid w:val="00FD393C"/>
    <w:rsid w:val="00FD6602"/>
    <w:rsid w:val="00FD6E30"/>
    <w:rsid w:val="00FE186B"/>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2128"/>
  <w15:chartTrackingRefBased/>
  <w15:docId w15:val="{C4B1F209-B306-4FDD-A498-46DDB963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25"/>
    <w:pPr>
      <w:ind w:left="720"/>
      <w:contextualSpacing/>
    </w:pPr>
  </w:style>
  <w:style w:type="paragraph" w:styleId="Header">
    <w:name w:val="header"/>
    <w:basedOn w:val="Normal"/>
    <w:link w:val="HeaderChar"/>
    <w:uiPriority w:val="99"/>
    <w:unhideWhenUsed/>
    <w:rsid w:val="0036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9D5"/>
  </w:style>
  <w:style w:type="paragraph" w:styleId="Footer">
    <w:name w:val="footer"/>
    <w:basedOn w:val="Normal"/>
    <w:link w:val="FooterChar"/>
    <w:uiPriority w:val="99"/>
    <w:unhideWhenUsed/>
    <w:rsid w:val="0036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9D5"/>
  </w:style>
  <w:style w:type="paragraph" w:styleId="BalloonText">
    <w:name w:val="Balloon Text"/>
    <w:basedOn w:val="Normal"/>
    <w:link w:val="BalloonTextChar"/>
    <w:uiPriority w:val="99"/>
    <w:semiHidden/>
    <w:unhideWhenUsed/>
    <w:rsid w:val="00DF7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78001-7AF2-4145-A634-C99E3CEC95F9}"/>
</file>

<file path=customXml/itemProps2.xml><?xml version="1.0" encoding="utf-8"?>
<ds:datastoreItem xmlns:ds="http://schemas.openxmlformats.org/officeDocument/2006/customXml" ds:itemID="{8B72384E-F9C4-4A86-83EB-11DCD00EF45F}"/>
</file>

<file path=customXml/itemProps3.xml><?xml version="1.0" encoding="utf-8"?>
<ds:datastoreItem xmlns:ds="http://schemas.openxmlformats.org/officeDocument/2006/customXml" ds:itemID="{B71134FC-AF9A-4266-A5FC-56BB84187DF7}"/>
</file>

<file path=docProps/app.xml><?xml version="1.0" encoding="utf-8"?>
<Properties xmlns="http://schemas.openxmlformats.org/officeDocument/2006/extended-properties" xmlns:vt="http://schemas.openxmlformats.org/officeDocument/2006/docPropsVTypes">
  <Template>Normal</Template>
  <TotalTime>3</TotalTime>
  <Pages>15</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4</cp:revision>
  <cp:lastPrinted>2023-08-02T12:40:00Z</cp:lastPrinted>
  <dcterms:created xsi:type="dcterms:W3CDTF">2023-08-02T12:42:00Z</dcterms:created>
  <dcterms:modified xsi:type="dcterms:W3CDTF">2023-11-17T09:01:00Z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2023-07-25T08:33:10Z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eba9657b-9a61-407d-8e13-dae0cc46d7c5</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